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47" w:rsidRDefault="008E3B47" w:rsidP="00FF5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Loi n ° 9-88 relative aux obligations comptables des commerçants</w:t>
      </w:r>
    </w:p>
    <w:p w:rsidR="008E3B47" w:rsidRPr="00520701" w:rsidRDefault="008E3B47" w:rsidP="00FF5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E3B47" w:rsidRDefault="008E3B47" w:rsidP="00191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  <w:b/>
          <w:bCs/>
        </w:rPr>
        <w:t xml:space="preserve">Article Premier </w:t>
      </w:r>
      <w:r w:rsidRPr="00520701">
        <w:rPr>
          <w:rFonts w:ascii="Times New Roman" w:hAnsi="Times New Roman" w:cs="Times New Roman"/>
        </w:rPr>
        <w:t>:</w:t>
      </w:r>
    </w:p>
    <w:p w:rsidR="008E3B47" w:rsidRPr="00FF5292" w:rsidRDefault="008E3B47" w:rsidP="005207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F5292">
        <w:rPr>
          <w:rFonts w:ascii="Times New Roman" w:hAnsi="Times New Roman" w:cs="Times New Roman"/>
        </w:rPr>
        <w:t xml:space="preserve">Toute personne physique ou morale ayant la qualité de commerçant au sens du Code de commerce est tenue </w:t>
      </w:r>
      <w:r w:rsidRPr="00FF5292">
        <w:rPr>
          <w:rFonts w:ascii="Times New Roman" w:hAnsi="Times New Roman" w:cs="Times New Roman"/>
          <w:b/>
          <w:bCs/>
          <w:color w:val="FF0000"/>
        </w:rPr>
        <w:t>de tenir une comptabilité dans les formes prescrite</w:t>
      </w:r>
      <w:r w:rsidRPr="00FF5292">
        <w:rPr>
          <w:rFonts w:ascii="Times New Roman" w:hAnsi="Times New Roman" w:cs="Times New Roman"/>
        </w:rPr>
        <w:t>s par la présente loi et les indications figurant aux tableaux y annexés.</w:t>
      </w:r>
    </w:p>
    <w:p w:rsidR="008E3B47" w:rsidRPr="00FF5292" w:rsidRDefault="008E3B47" w:rsidP="005207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</w:rPr>
      </w:pPr>
      <w:r w:rsidRPr="00FF5292">
        <w:rPr>
          <w:rFonts w:ascii="Times New Roman" w:hAnsi="Times New Roman" w:cs="Times New Roman"/>
        </w:rPr>
        <w:t xml:space="preserve">A cette fin, elle doit procéder à l'enregistrement comptable des mouvements affectant les actifs et les passifs de son entreprise ; </w:t>
      </w:r>
      <w:r w:rsidRPr="00FF5292">
        <w:rPr>
          <w:rFonts w:ascii="Times New Roman" w:hAnsi="Times New Roman" w:cs="Times New Roman"/>
          <w:b/>
          <w:bCs/>
          <w:color w:val="FF0000"/>
        </w:rPr>
        <w:t>ces mouvements sont enregistrés chronologiquement, opération par opération et jour par jour.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 xml:space="preserve">Tout enregistrement comptable précise </w:t>
      </w:r>
      <w:r w:rsidRPr="00FF5292">
        <w:rPr>
          <w:rFonts w:ascii="Times New Roman" w:hAnsi="Times New Roman" w:cs="Times New Roman"/>
          <w:b/>
          <w:bCs/>
          <w:color w:val="FF0000"/>
        </w:rPr>
        <w:t>l'origine</w:t>
      </w:r>
      <w:r w:rsidRPr="00520701">
        <w:rPr>
          <w:rFonts w:ascii="Times New Roman" w:hAnsi="Times New Roman" w:cs="Times New Roman"/>
        </w:rPr>
        <w:t xml:space="preserve">, </w:t>
      </w:r>
      <w:r w:rsidRPr="00FF5292">
        <w:rPr>
          <w:rFonts w:ascii="Times New Roman" w:hAnsi="Times New Roman" w:cs="Times New Roman"/>
          <w:b/>
          <w:bCs/>
          <w:color w:val="FF0000"/>
        </w:rPr>
        <w:t>le contenu et l'imputation</w:t>
      </w:r>
      <w:r w:rsidRPr="00520701">
        <w:rPr>
          <w:rFonts w:ascii="Times New Roman" w:hAnsi="Times New Roman" w:cs="Times New Roman"/>
        </w:rPr>
        <w:t xml:space="preserve"> du mouvement ainsi que les références de </w:t>
      </w:r>
      <w:r w:rsidRPr="00FF5292">
        <w:rPr>
          <w:rFonts w:ascii="Times New Roman" w:hAnsi="Times New Roman" w:cs="Times New Roman"/>
          <w:b/>
          <w:bCs/>
          <w:color w:val="FF0000"/>
        </w:rPr>
        <w:t>la pièce justificative</w:t>
      </w:r>
      <w:r w:rsidRPr="00520701">
        <w:rPr>
          <w:rFonts w:ascii="Times New Roman" w:hAnsi="Times New Roman" w:cs="Times New Roman"/>
        </w:rPr>
        <w:t xml:space="preserve"> qui l'appuie.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 opérations de même nature, réalisées en un même lieu et au cours d'une même journée peuvent être récapitulées sur une pièce justificative unique.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 w:rsidRPr="00520701">
        <w:rPr>
          <w:rFonts w:ascii="Times New Roman" w:hAnsi="Times New Roman" w:cs="Times New Roman"/>
          <w:b/>
          <w:bCs/>
          <w:i/>
          <w:iCs/>
        </w:rPr>
        <w:t xml:space="preserve">Toutefois, </w:t>
      </w:r>
      <w:r w:rsidRPr="00191DB8">
        <w:rPr>
          <w:rFonts w:ascii="Times New Roman" w:hAnsi="Times New Roman" w:cs="Times New Roman"/>
          <w:b/>
          <w:bCs/>
          <w:i/>
          <w:iCs/>
          <w:color w:val="FF0000"/>
        </w:rPr>
        <w:t>les personnes physiques</w:t>
      </w:r>
      <w:r w:rsidRPr="00520701">
        <w:rPr>
          <w:rFonts w:ascii="Times New Roman" w:hAnsi="Times New Roman" w:cs="Times New Roman"/>
          <w:b/>
          <w:bCs/>
          <w:i/>
          <w:iCs/>
        </w:rPr>
        <w:t xml:space="preserve"> dont le chiffre d'affaires annuel </w:t>
      </w:r>
      <w:r w:rsidRPr="00191DB8">
        <w:rPr>
          <w:rFonts w:ascii="Times New Roman" w:hAnsi="Times New Roman" w:cs="Times New Roman"/>
          <w:b/>
          <w:bCs/>
          <w:i/>
          <w:iCs/>
          <w:color w:val="FF0000"/>
        </w:rPr>
        <w:t>n'excède pas deux millions de dirhams (2.000.000 DH)</w:t>
      </w:r>
      <w:r w:rsidRPr="00520701">
        <w:rPr>
          <w:rFonts w:ascii="Times New Roman" w:hAnsi="Times New Roman" w:cs="Times New Roman"/>
          <w:b/>
          <w:bCs/>
          <w:i/>
          <w:iCs/>
        </w:rPr>
        <w:t>, à l'exception des agents d'assurances, peuvent :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20701">
        <w:rPr>
          <w:rFonts w:ascii="Times New Roman" w:hAnsi="Times New Roman" w:cs="Times New Roman"/>
          <w:b/>
          <w:bCs/>
          <w:i/>
          <w:iCs/>
        </w:rPr>
        <w:t>- procéder à l'enregistrement chronologique et global, jour par jour, des opérations à leur date d'encaissement ou de décaissement ;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20701">
        <w:rPr>
          <w:rFonts w:ascii="Times New Roman" w:hAnsi="Times New Roman" w:cs="Times New Roman"/>
          <w:b/>
          <w:bCs/>
          <w:i/>
          <w:iCs/>
        </w:rPr>
        <w:t>- enregistrer globalement les créances et les dettes à la clôture de l'exercice sur une liste sommaire mentionnant l'identité des clients et des fournisseurs et le montant de leurs dettes ;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20701">
        <w:rPr>
          <w:rFonts w:ascii="Times New Roman" w:hAnsi="Times New Roman" w:cs="Times New Roman"/>
          <w:b/>
          <w:bCs/>
          <w:i/>
          <w:iCs/>
        </w:rPr>
        <w:t>- enregistrer, en cas de nécessité, les mesures dépenses sur la base de pièces justificatives internes signées par le commerçant concerné.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B47" w:rsidRPr="00191DB8" w:rsidRDefault="008E3B47" w:rsidP="00191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2 :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enregistrements visés à l'article premier ci-dessus sont portés sous forme d'écritures sur un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 xml:space="preserve">registre dénommé </w:t>
      </w:r>
      <w:r w:rsidRPr="00191DB8">
        <w:rPr>
          <w:rFonts w:ascii="Times New Roman" w:hAnsi="Times New Roman" w:cs="Times New Roman"/>
          <w:b/>
          <w:bCs/>
          <w:color w:val="FF0000"/>
        </w:rPr>
        <w:t>" livre-journal ".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Toute écriture affecte au moins deux comptes dont l'un est débité et l'autre est crédité d'une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somme identique.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 xml:space="preserve">Les écritures du livre-journal sont reportées sur un registre dénommé </w:t>
      </w:r>
      <w:r w:rsidRPr="00191DB8">
        <w:rPr>
          <w:rFonts w:ascii="Times New Roman" w:hAnsi="Times New Roman" w:cs="Times New Roman"/>
          <w:b/>
          <w:bCs/>
          <w:color w:val="FF0000"/>
        </w:rPr>
        <w:t>"grand-livre"</w:t>
      </w:r>
      <w:r w:rsidRPr="00520701">
        <w:rPr>
          <w:rFonts w:ascii="Times New Roman" w:hAnsi="Times New Roman" w:cs="Times New Roman"/>
        </w:rPr>
        <w:t xml:space="preserve"> ayant pour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objet de les enregistrer selon le plan de comptes du commerçant.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 xml:space="preserve">Le </w:t>
      </w:r>
      <w:r w:rsidRPr="00191DB8">
        <w:rPr>
          <w:rFonts w:ascii="Times New Roman" w:hAnsi="Times New Roman" w:cs="Times New Roman"/>
          <w:b/>
          <w:bCs/>
          <w:color w:val="FF0000"/>
        </w:rPr>
        <w:t>plan de comptes</w:t>
      </w:r>
      <w:r w:rsidRPr="00520701">
        <w:rPr>
          <w:rFonts w:ascii="Times New Roman" w:hAnsi="Times New Roman" w:cs="Times New Roman"/>
        </w:rPr>
        <w:t xml:space="preserve"> doit comprendre des classes de comptes de situation, des classes de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comptes de gestion et des classes de comptes spéciaux, telles qu'elles sont définies aux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tableaux annexés à la présente loi.</w:t>
      </w:r>
    </w:p>
    <w:p w:rsidR="008E3B47" w:rsidRDefault="008E3B47" w:rsidP="005207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 w:rsidRPr="00520701">
        <w:rPr>
          <w:rFonts w:ascii="Times New Roman" w:hAnsi="Times New Roman" w:cs="Times New Roman"/>
          <w:b/>
          <w:bCs/>
          <w:i/>
          <w:iCs/>
        </w:rPr>
        <w:t>Toutefois, les personnes physiques visées à l'alinéa 5 de l'article premier ci-dessus sont dispensées de la tenue du grand-livre si la balance récapitulative des comptes peut être établie directement du livre journal.</w:t>
      </w:r>
    </w:p>
    <w:p w:rsidR="008E3B47" w:rsidRPr="00520701" w:rsidRDefault="008E3B47" w:rsidP="00191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8E3B47" w:rsidRPr="00191DB8" w:rsidRDefault="008E3B47" w:rsidP="0019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3 :</w:t>
      </w:r>
    </w:p>
    <w:p w:rsidR="008E3B47" w:rsidRPr="00520701" w:rsidRDefault="008E3B47" w:rsidP="00191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livre-journal et le grand-livre peuvent être détaillés en autant de registres subséquents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 xml:space="preserve">dénommés </w:t>
      </w:r>
      <w:r w:rsidRPr="00191DB8">
        <w:rPr>
          <w:rFonts w:ascii="Times New Roman" w:hAnsi="Times New Roman" w:cs="Times New Roman"/>
          <w:b/>
          <w:bCs/>
          <w:color w:val="FF0000"/>
        </w:rPr>
        <w:t>" journaux auxiliaires "</w:t>
      </w:r>
      <w:r w:rsidRPr="00520701">
        <w:rPr>
          <w:rFonts w:ascii="Times New Roman" w:hAnsi="Times New Roman" w:cs="Times New Roman"/>
        </w:rPr>
        <w:t xml:space="preserve"> et </w:t>
      </w:r>
      <w:r w:rsidRPr="00191DB8">
        <w:rPr>
          <w:rFonts w:ascii="Times New Roman" w:hAnsi="Times New Roman" w:cs="Times New Roman"/>
          <w:b/>
          <w:bCs/>
          <w:color w:val="FF0000"/>
        </w:rPr>
        <w:t>" livres auxiliaires "</w:t>
      </w:r>
      <w:r w:rsidRPr="00520701">
        <w:rPr>
          <w:rFonts w:ascii="Times New Roman" w:hAnsi="Times New Roman" w:cs="Times New Roman"/>
        </w:rPr>
        <w:t xml:space="preserve"> que l'importance ou les besoins de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l'entreprise l'exigent.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 écritures portées sur les journaux et les livres auxiliaires sont centralisées une fois par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mois sur le livre-journal et le grand-livre.</w:t>
      </w:r>
    </w:p>
    <w:p w:rsidR="008E3B47" w:rsidRPr="00FE7C59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FE7C59">
        <w:rPr>
          <w:rFonts w:ascii="Times New Roman" w:hAnsi="Times New Roman" w:cs="Times New Roman"/>
          <w:b/>
          <w:bCs/>
          <w:i/>
          <w:iCs/>
        </w:rPr>
        <w:t>Toutefois, les personnes physiques visées à l'alinéa 5 de l'article premier ci-dessus sont autorisées à procéder à la centralisation des écritures portées sur les journaux auxiliaires une fois par exercice à la clôture de ce dernier.</w:t>
      </w:r>
    </w:p>
    <w:p w:rsidR="008E3B47" w:rsidRPr="00520701" w:rsidRDefault="008E3B47" w:rsidP="0019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3B47" w:rsidRDefault="008E3B47" w:rsidP="00FE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4 :</w:t>
      </w:r>
    </w:p>
    <w:p w:rsidR="008E3B47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 xml:space="preserve">personnes assujetties à la présente loi dont le chiffre d'affaires </w:t>
      </w:r>
      <w:r w:rsidRPr="00FE7C59">
        <w:rPr>
          <w:rFonts w:ascii="Times New Roman" w:hAnsi="Times New Roman" w:cs="Times New Roman"/>
          <w:b/>
          <w:bCs/>
          <w:i/>
          <w:iCs/>
        </w:rPr>
        <w:t>annuel est supérieur à dix millions de dirhams (10 000 000 DH)</w:t>
      </w:r>
      <w:r w:rsidRPr="00520701">
        <w:rPr>
          <w:rFonts w:ascii="Times New Roman" w:hAnsi="Times New Roman" w:cs="Times New Roman"/>
        </w:rPr>
        <w:t xml:space="preserve"> doivent établir un manuel qui a pour objet de décrire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l'organisation comptable de leur entreprise.</w:t>
      </w:r>
    </w:p>
    <w:p w:rsidR="008E3B47" w:rsidRPr="00520701" w:rsidRDefault="008E3B47" w:rsidP="00191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3B47" w:rsidRDefault="008E3B47" w:rsidP="00FE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  <w:b/>
          <w:bCs/>
        </w:rPr>
        <w:t xml:space="preserve">Article 5 : </w:t>
      </w:r>
      <w:r w:rsidRPr="00520701">
        <w:rPr>
          <w:rFonts w:ascii="Times New Roman" w:hAnsi="Times New Roman" w:cs="Times New Roman"/>
        </w:rPr>
        <w:t>La valeur des éléments actifs et passifs de l'entreprise doivent faire l'objet d'un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inventaire au moins une fois par exercice, à la fin de celui-ci.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3B47" w:rsidRDefault="008E3B47" w:rsidP="00FE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  <w:b/>
          <w:bCs/>
        </w:rPr>
        <w:t xml:space="preserve">Article 6 : </w:t>
      </w:r>
      <w:r w:rsidRPr="00520701">
        <w:rPr>
          <w:rFonts w:ascii="Times New Roman" w:hAnsi="Times New Roman" w:cs="Times New Roman"/>
        </w:rPr>
        <w:t>Il doit être tenu un livre d'inventaire sur lequel il est transcrit le bilan et le compte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de produits et charges de chaque exercice.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3B47" w:rsidRDefault="008E3B47" w:rsidP="00FE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  <w:b/>
          <w:bCs/>
        </w:rPr>
        <w:t xml:space="preserve">Article 7 : </w:t>
      </w:r>
      <w:r w:rsidRPr="00520701">
        <w:rPr>
          <w:rFonts w:ascii="Times New Roman" w:hAnsi="Times New Roman" w:cs="Times New Roman"/>
        </w:rPr>
        <w:t>La durée de l'exercice est de douze mois. Elle peut exceptionnellement être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inférieure à douze mois, pour un exercice donné.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3B47" w:rsidRDefault="008E3B47" w:rsidP="00FE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8 :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livre-journal et le livre d'inventaire sont cotés et paraphés, dans la forme ordinaire et sans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frais, par le greffier du tribunal de première instance du siège de l'entreprise. Chaque livre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reçoit un numéro répertorié par le greffier sur un registre spécial.</w:t>
      </w:r>
    </w:p>
    <w:p w:rsidR="008E3B47" w:rsidRPr="00FE7C59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 w:rsidRPr="00FE7C59">
        <w:rPr>
          <w:rFonts w:ascii="Times New Roman" w:hAnsi="Times New Roman" w:cs="Times New Roman"/>
          <w:b/>
          <w:bCs/>
          <w:i/>
          <w:iCs/>
        </w:rPr>
        <w:t>Toutefois, les personnes physiques visées à l'alinéa 5 de l'article premier ci-dessus ne sont pas tenues de faire coter et parapher par le greffier du tribunal compétent le livre-journal et le livre d'inventaire, à condition de conserver lesdits livres ainsi que le bilan et le compte de produits et charges pendant dix ans.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8E3B47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 xml:space="preserve">Article 9 : 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Sous réserve des dispositions prévues aux articles 19, 20 et 21 ci-après, les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personnes assujetties à la présente loi doivent établir des états de synthèse annuels, à la clôture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de l'exercice, sur le fondement des enregistrements comptables et de l'inventaire retracés dans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le livre-journal, le grand-livre et le livre d'inventaire.</w:t>
      </w:r>
    </w:p>
    <w:p w:rsidR="008E3B47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Ces états de synthèse comprennent le bilan, le compte de produits et charges, l'état des soldes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de gestion, le tableau de financement et l'état les informations complémentaires. Ils forment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un tout indissociable.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8E3B47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10 :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  <w:b/>
          <w:bCs/>
        </w:rPr>
        <w:t xml:space="preserve"> </w:t>
      </w:r>
      <w:r w:rsidRPr="00520701">
        <w:rPr>
          <w:rFonts w:ascii="Times New Roman" w:hAnsi="Times New Roman" w:cs="Times New Roman"/>
        </w:rPr>
        <w:t>Le bilan décrit séparément les éléments actifs et passifs de l'entreprise.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 compte de produits et charges récapitule les produits et les charges de l'exercice, sans qu'il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soit tenu compte de leur date d'encaissement ou de paiement.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L'état des soldes de gestion décrit la formation du résultat net et celle de l'autofinancement.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 tableau de financement met en évidence l'évolution financière de l'entreprise au cours de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l'exercice en décrivant les ressources dont elle a disposé et les emplois qu'elle en a effectués.</w:t>
      </w:r>
    </w:p>
    <w:p w:rsidR="008E3B47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L'état des informations complémentaires complète et commente l'information donnée par le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bilan, le compte de produits et charges, l'état des soldes de gestion et le tableau de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financement.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8E3B47" w:rsidRDefault="008E3B47" w:rsidP="00FE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 xml:space="preserve">Article 11 : 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 états de synthèse doivent donner une image fidèle des actifs et passifs ainsi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que de la situation financière et des résultats de l'entreprise.</w:t>
      </w:r>
    </w:p>
    <w:p w:rsidR="008E3B47" w:rsidRPr="00520701" w:rsidRDefault="008E3B47" w:rsidP="00FE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A cette fin, ils doivent comprendre autant d'informations qu'il est nécessaire pour donner une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image fidèle des actifs et passifs ainsi que de la situation financière et des résultats de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l'entreprise.</w:t>
      </w: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Lorsque l'application d'une prescription comptable ne suffit pas pour donner l'image fidèle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mentionnée au présent article, des informations complémentaires doivent être données.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12 :</w:t>
      </w: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 bilan, le compte de produits et charges, l'état des soldes de gestion et le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tableau de financement comportent des masses subdivisées en rubriques elles-mêmes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subdivisées en postes.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 xml:space="preserve">Article 13 : 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La présentation des états de synthèse comme les modalités d'évaluation retenues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ne peuvent être modifiées d'un exercice à l'autre.</w:t>
      </w: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Si des modifications interviennent, elles sont décrites et justifiées dans l'état des informations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complémentaires.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8E3B47" w:rsidRPr="00191DB8" w:rsidRDefault="008E3B47" w:rsidP="00191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14 :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A leur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date d'entrée dans l'entreprise, les biens acquis à titre onéreux sont enregistrés à leur coût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d'acquisition, les biens acquis à titre gratuit à leur valeur actuelle et les biens produits à leur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coût de production.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A leur date d'entrée dans l'entreprise, les titres acquis à titre onéreux sont enregistrés à leur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prix d'achat.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A leur date d'entrée dans l'entreprise, les créances, dettes et disponibilités sont inscrites en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comptabilité pour leur montant nominal. Les créances, dettes et disponibilités libellées en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monnaie étrangère sont converties en monnaie nationale à leur date d'entrée.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La valeur d'entrée des éléments de l'actif immobilisé dont l'utilisation est limitée dans le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temps doit faire l'objet de corrections de valeur sous forme d'amortissement.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L'amortissement consiste à étaler le montant amortissable de l'immobilisation sur sa durée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prévisionnelle d'utilisation par l'entreprise selon un plan d'amortissement.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La valeur d'entrée diminuée du montant cumulé des amortissements forme la valeur nette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d'amortissements de l'immobilisation.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A la date d'inventaire, la valeur actuelle est comparée à la valeur d'entrée pour les éléments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non amortissables ou à la valeur nette d'amortissements, après amortissement de l'exercice,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pour les immobilisations amortissables.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Seules les moins-values dégagées de cette comparaison sont inscrites en comptabilité soit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sous forme d'amortissements exceptionnels Si elles ont un caractère définitif soit sous forme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de provisions pour dépréciation si elles n'ont pas un caractère définitif.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La valeur comptable nette des éléments d'actif est soit la valeur d'entrée ou la valeur nette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d'amortissements si la valeur actuelle leur est supérieure ou égale, soit la valeur actuelle si elle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leur est inférieure.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S'il est procédé à une réévaluation de l'ensemble des immobilisations corporelles et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financières, l'écart de réévaluation entre la valeur actuelle et la valeur comptable nette ne peut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être utilisé à compenser les pertes ; il est inscrit distinctement au passif du bilan.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 biens fongibles sont évalués soit à leur coût moyen d'acquisition ou de production, soit en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considérant que le premier bien sorti est le premier bien entré.</w:t>
      </w:r>
    </w:p>
    <w:p w:rsidR="008E3B47" w:rsidRPr="00DF10D9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 w:rsidRPr="00DF10D9">
        <w:rPr>
          <w:rFonts w:ascii="Times New Roman" w:hAnsi="Times New Roman" w:cs="Times New Roman"/>
          <w:b/>
          <w:bCs/>
          <w:i/>
          <w:iCs/>
        </w:rPr>
        <w:t>Toutefois, les personnes physiques visées à l'alinéa 5 de l'article premier ci-dessus sont autorisées à :</w:t>
      </w:r>
    </w:p>
    <w:p w:rsidR="008E3B47" w:rsidRPr="00DF10D9" w:rsidRDefault="008E3B47" w:rsidP="00DF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F10D9">
        <w:rPr>
          <w:rFonts w:ascii="Times New Roman" w:hAnsi="Times New Roman" w:cs="Times New Roman"/>
          <w:b/>
          <w:bCs/>
          <w:i/>
          <w:iCs/>
        </w:rPr>
        <w:t>- procéder à une évaluation simplifiée des stocks achetés et des biens produits par estimation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F10D9">
        <w:rPr>
          <w:rFonts w:ascii="Times New Roman" w:hAnsi="Times New Roman" w:cs="Times New Roman"/>
          <w:b/>
          <w:bCs/>
          <w:i/>
          <w:iCs/>
        </w:rPr>
        <w:t>du coût d'achat ou de production ou sur la base du prix de vente, avec application d'un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F10D9">
        <w:rPr>
          <w:rFonts w:ascii="Times New Roman" w:hAnsi="Times New Roman" w:cs="Times New Roman"/>
          <w:b/>
          <w:bCs/>
          <w:i/>
          <w:iCs/>
        </w:rPr>
        <w:t>abattement correspondant à la marge pratiquée ;</w:t>
      </w: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F10D9">
        <w:rPr>
          <w:rFonts w:ascii="Times New Roman" w:hAnsi="Times New Roman" w:cs="Times New Roman"/>
          <w:b/>
          <w:bCs/>
          <w:i/>
          <w:iCs/>
        </w:rPr>
        <w:t>- procéder au calcul des amortissements des immobilisations selon une méthode linéaire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F10D9">
        <w:rPr>
          <w:rFonts w:ascii="Times New Roman" w:hAnsi="Times New Roman" w:cs="Times New Roman"/>
          <w:b/>
          <w:bCs/>
          <w:i/>
          <w:iCs/>
        </w:rPr>
        <w:t>simplifiée.</w:t>
      </w:r>
    </w:p>
    <w:p w:rsidR="008E3B47" w:rsidRPr="00DF10D9" w:rsidRDefault="008E3B47" w:rsidP="00DF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15 :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  <w:b/>
          <w:bCs/>
        </w:rPr>
        <w:t xml:space="preserve"> </w:t>
      </w:r>
      <w:r w:rsidRPr="00520701">
        <w:rPr>
          <w:rFonts w:ascii="Times New Roman" w:hAnsi="Times New Roman" w:cs="Times New Roman"/>
        </w:rPr>
        <w:t>Les mouvements et informations doivent être inscrits dans les comptes ou postes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adéquats, avec la bonne dénomination et sans compensation entre eux.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 éléments d'actif et de passif doivent être évalués séparément.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Aucune compensation ne peut être opérée entre les postes d'actif et de passif du bilan ou entre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les postes de produits et de charges du compte de produits et charges.</w:t>
      </w: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 bilan d'ouverture d'un exercice doit être identique au bilan de clôture de l'exercice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précédent.</w:t>
      </w:r>
    </w:p>
    <w:p w:rsidR="008E3B47" w:rsidRPr="00520701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3B47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16 :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 produits ne sont pris en compte que s'ils sont définitivement acquis à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l'entreprise ; les charges sont à enregistrer dès lors qu'elles sont probables.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Même en cas d'absence ou insuffisance de bénéfice, il doit être procédé aux amortissements et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provisions nécessaires.</w:t>
      </w: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Il doit être tenu compte des risques et des charges nés au cours de l'exercice ou d'un exercice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antérieur, même s'ils sont connus entre la date de clôture de l'exercice et celle de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l'établissement des états de synthèse.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8E3B47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17 :</w:t>
      </w: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Seuls les bénéfices réalisés à la clôture d'un exercice peuvent être inscrits dans les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états de synthèse. Cependant, peut également être inscrit le bénéfice réalisé sur une opération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partiellement exécutée, lorsque sa durée est supérieure à un an, sa réalisation certaine et qu'il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est possible d'évaluer avec une sécurité suffisante le bénéfice global de l'opération.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 xml:space="preserve">Article 18 : 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L'établissement des états de synthèse, sauf circonstances exceptionnelles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justifiées dans l'état des informations complémentaires, doit se faire au plus tard dans les trois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mois suivant la date de clôture de l'exercice.</w:t>
      </w:r>
    </w:p>
    <w:p w:rsidR="008E3B47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La date d'établissement des états de synthèse est mentionnée dans l'état des informations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complémentaires.</w:t>
      </w:r>
    </w:p>
    <w:p w:rsidR="008E3B47" w:rsidRPr="00520701" w:rsidRDefault="008E3B47" w:rsidP="00DF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8E3B47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 xml:space="preserve">Article 19 : </w:t>
      </w:r>
    </w:p>
    <w:p w:rsidR="008E3B47" w:rsidRPr="00520701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Si, en raison de situations spécifiques à l'entreprise, l'application d'une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prescription comptable de la présente loi ne permet pas de donner une image fidèle de l'actif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et du passif, de la situation financière ou des résultats, il peut y être dérogé ; cette dérogation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est mentionnée à l'état des informations complémentaires et dûment motivée, avec l'indication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de son influence sur l'actif, le passif, la situation financière et les résultats de l'entreprise.</w:t>
      </w:r>
    </w:p>
    <w:p w:rsidR="008E3B47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 changement de la date de clôture doit être dûment motivé dans l'état des informations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complémentaires.</w:t>
      </w:r>
    </w:p>
    <w:p w:rsidR="008E3B47" w:rsidRPr="00520701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8E3B47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20 :</w:t>
      </w:r>
    </w:p>
    <w:p w:rsidR="008E3B47" w:rsidRPr="00520701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Lorsque les conditions d'une cessation d'activité totale ou partielle sont réunies,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l'assujetti peut établir ses états de synthèse selon des méthodes différentes de celles prescrites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par la présente loi.</w:t>
      </w:r>
    </w:p>
    <w:p w:rsidR="008E3B47" w:rsidRDefault="008E3B47" w:rsidP="0045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Dans de tels cas, il doit indiquer dans l'état des informations complémentaires les méthodes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qu'il a retenues.</w:t>
      </w:r>
    </w:p>
    <w:p w:rsidR="008E3B47" w:rsidRPr="00520701" w:rsidRDefault="008E3B47" w:rsidP="0045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3B47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21 :</w:t>
      </w:r>
    </w:p>
    <w:p w:rsidR="008E3B47" w:rsidRPr="00520701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 xml:space="preserve">personnes assujetties à la présente loi dont le chiffre d'affaire annuel est </w:t>
      </w:r>
      <w:r w:rsidRPr="00457CE6">
        <w:rPr>
          <w:rFonts w:ascii="Times New Roman" w:hAnsi="Times New Roman" w:cs="Times New Roman"/>
          <w:b/>
          <w:bCs/>
          <w:i/>
          <w:iCs/>
        </w:rPr>
        <w:t>inférieur ou égal à dix millions de dirhams (10.000.000)</w:t>
      </w:r>
      <w:r w:rsidRPr="00520701">
        <w:rPr>
          <w:rFonts w:ascii="Times New Roman" w:hAnsi="Times New Roman" w:cs="Times New Roman"/>
        </w:rPr>
        <w:t xml:space="preserve"> sont dispensées de l'établissement de l'état des soldes de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gestion, du tableau de financement et de l'état des informations complémentaires.</w:t>
      </w:r>
    </w:p>
    <w:p w:rsidR="008E3B47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 w:rsidRPr="00457CE6">
        <w:rPr>
          <w:rFonts w:ascii="Times New Roman" w:hAnsi="Times New Roman" w:cs="Times New Roman"/>
          <w:b/>
          <w:bCs/>
          <w:i/>
          <w:iCs/>
        </w:rPr>
        <w:t>Les personnes visées à l'alinéa ci-dessus sont autorisées à établir le bilan et le compte de produits et charges et adopter le cadre comptable selon le modèle simplifié tel qu'annexé à la présente loi.</w:t>
      </w:r>
    </w:p>
    <w:p w:rsidR="008E3B47" w:rsidRPr="00457CE6" w:rsidRDefault="008E3B47" w:rsidP="00191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8E3B47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 xml:space="preserve">Article 22 : </w:t>
      </w:r>
    </w:p>
    <w:p w:rsidR="008E3B47" w:rsidRPr="00520701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 documents comptables sont établis en monnaie nationale.</w:t>
      </w:r>
    </w:p>
    <w:p w:rsidR="008E3B47" w:rsidRPr="00520701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 documents comptables et les pièces justificatives sont conservés pendant dix ans.</w:t>
      </w:r>
    </w:p>
    <w:p w:rsidR="008E3B47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 documents comptables relatifs à l'enregistrement des opérations et à l'inventaire sont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établis et tenus sans blanc ni altération d'aucune sorte.</w:t>
      </w:r>
    </w:p>
    <w:p w:rsidR="008E3B47" w:rsidRPr="00520701" w:rsidRDefault="008E3B47" w:rsidP="00191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3B47" w:rsidRDefault="008E3B47" w:rsidP="0045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 xml:space="preserve">Article 23 : </w:t>
      </w:r>
    </w:p>
    <w:p w:rsidR="008E3B47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L'administration fiscale peut rejeter les comptabilités qui ne sont pas tenues dans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les formes prescrites par la présente loi et les tableaux y annexés.</w:t>
      </w:r>
    </w:p>
    <w:p w:rsidR="008E3B47" w:rsidRPr="00520701" w:rsidRDefault="008E3B47" w:rsidP="0045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3B47" w:rsidRDefault="008E3B47" w:rsidP="0045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>Article 24 :</w:t>
      </w:r>
    </w:p>
    <w:p w:rsidR="008E3B47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Les experts-comptables, comptables agréés et autres personnes faisant profession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de tenir la comptabilité des personnes assujetties à la présente loi sont tenus de se conformer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aux dispositions de la présente loi et de son annexe pour la tenue de la comptabilité des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entreprises dont ils sont chargés.</w:t>
      </w:r>
    </w:p>
    <w:p w:rsidR="008E3B47" w:rsidRPr="00520701" w:rsidRDefault="008E3B47" w:rsidP="0045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3B47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 xml:space="preserve">Article 25 : </w:t>
      </w:r>
    </w:p>
    <w:p w:rsidR="008E3B47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20701">
        <w:rPr>
          <w:rFonts w:ascii="Times New Roman" w:hAnsi="Times New Roman" w:cs="Times New Roman"/>
        </w:rPr>
        <w:t>Sont abrogés lors de l'entrée en vigueur de la présente loi les articles 10, 11, 12 et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13 du dahir du 9 ramadan 1331 (12 août 1913) formant Code de commerce. Les renvois faits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à ces articles dans les lois et règlements en vigueur s'appliquent de plein droit aux dispositions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>correspondantes de la présente loi.</w:t>
      </w:r>
    </w:p>
    <w:p w:rsidR="008E3B47" w:rsidRPr="00520701" w:rsidRDefault="008E3B47" w:rsidP="00457C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8E3B47" w:rsidRDefault="008E3B47" w:rsidP="0052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701">
        <w:rPr>
          <w:rFonts w:ascii="Times New Roman" w:hAnsi="Times New Roman" w:cs="Times New Roman"/>
          <w:b/>
          <w:bCs/>
        </w:rPr>
        <w:t xml:space="preserve">Article 26 : </w:t>
      </w:r>
    </w:p>
    <w:p w:rsidR="008E3B47" w:rsidRDefault="008E3B47" w:rsidP="0045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20701">
        <w:rPr>
          <w:rFonts w:ascii="Times New Roman" w:hAnsi="Times New Roman" w:cs="Times New Roman"/>
        </w:rPr>
        <w:t>Les dispositions de la présente loi entreront en vigueur à compter du deuxième</w:t>
      </w:r>
      <w:r>
        <w:rPr>
          <w:rFonts w:ascii="Times New Roman" w:hAnsi="Times New Roman" w:cs="Times New Roman"/>
        </w:rPr>
        <w:t xml:space="preserve"> </w:t>
      </w:r>
      <w:r w:rsidRPr="00520701">
        <w:rPr>
          <w:rFonts w:ascii="Times New Roman" w:hAnsi="Times New Roman" w:cs="Times New Roman"/>
        </w:rPr>
        <w:t xml:space="preserve">exercice ouvert après la date de sa publication au </w:t>
      </w:r>
      <w:r w:rsidRPr="00520701">
        <w:rPr>
          <w:rFonts w:ascii="Times New Roman" w:hAnsi="Times New Roman" w:cs="Times New Roman"/>
          <w:i/>
          <w:iCs/>
        </w:rPr>
        <w:t>Bulletin officiel.</w:t>
      </w:r>
    </w:p>
    <w:p w:rsidR="008E3B47" w:rsidRDefault="008E3B47" w:rsidP="0045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E3B47" w:rsidRPr="003210F5" w:rsidRDefault="008E3B47" w:rsidP="00BD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10F5">
        <w:rPr>
          <w:rFonts w:ascii="Verdana" w:hAnsi="Verdana" w:cs="Verdana"/>
        </w:rPr>
        <w:t>Ces modifications sont introduites par la loi n° 44-03 et qui seront applicables pour les exercice</w:t>
      </w:r>
      <w:r>
        <w:rPr>
          <w:rFonts w:ascii="Verdana" w:hAnsi="Verdana" w:cs="Verdana"/>
        </w:rPr>
        <w:t>s</w:t>
      </w:r>
      <w:r w:rsidRPr="003210F5">
        <w:rPr>
          <w:rFonts w:ascii="Verdana" w:hAnsi="Verdana" w:cs="Verdana"/>
        </w:rPr>
        <w:t xml:space="preserve"> suivant la date de publication de cette loi qui est le 27/02/2006.</w:t>
      </w:r>
    </w:p>
    <w:p w:rsidR="008E3B47" w:rsidRPr="003210F5" w:rsidRDefault="008E3B47" w:rsidP="00BD4EAA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  <w:rFonts w:ascii="Verdana" w:hAnsi="Verdana" w:cs="Verdana"/>
        </w:rPr>
      </w:pPr>
      <w:r w:rsidRPr="003210F5">
        <w:rPr>
          <w:rStyle w:val="Strong"/>
          <w:rFonts w:ascii="Verdana" w:hAnsi="Verdana" w:cs="Verdana"/>
        </w:rPr>
        <w:t>Les principales modification</w:t>
      </w:r>
      <w:r>
        <w:rPr>
          <w:rStyle w:val="Strong"/>
          <w:rFonts w:ascii="Verdana" w:hAnsi="Verdana" w:cs="Verdana"/>
        </w:rPr>
        <w:t>s</w:t>
      </w:r>
      <w:r w:rsidRPr="003210F5">
        <w:rPr>
          <w:rStyle w:val="Strong"/>
          <w:rFonts w:ascii="Verdana" w:hAnsi="Verdana" w:cs="Verdana"/>
        </w:rPr>
        <w:t xml:space="preserve"> apportées à la loi n° 9-88 relatives aux obligations comptables des commerçants :</w:t>
      </w:r>
    </w:p>
    <w:p w:rsidR="008E3B47" w:rsidRPr="003210F5" w:rsidRDefault="008E3B47" w:rsidP="00BD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10F5">
        <w:rPr>
          <w:rFonts w:ascii="Verdana" w:hAnsi="Verdana" w:cs="Verdana"/>
        </w:rPr>
        <w:t xml:space="preserve">- Pour les entreprises qui adoptent le modèle </w:t>
      </w:r>
      <w:hyperlink r:id="rId4" w:tgtFrame="_blank" w:tooltip="Sponsor Link By eDintorni" w:history="1">
        <w:r w:rsidRPr="003210F5">
          <w:rPr>
            <w:rStyle w:val="Hyperlink"/>
            <w:rFonts w:ascii="Verdana" w:hAnsi="Verdana" w:cs="Verdana"/>
            <w:u w:val="single"/>
          </w:rPr>
          <w:t>comptable</w:t>
        </w:r>
      </w:hyperlink>
      <w:r w:rsidRPr="003210F5">
        <w:rPr>
          <w:rFonts w:ascii="Verdana" w:hAnsi="Verdana" w:cs="Verdana"/>
        </w:rPr>
        <w:t xml:space="preserve"> normale, le CA annuel sera plus de 10 000 000 DHS au lieu de 7 500 000 DHS.</w:t>
      </w:r>
    </w:p>
    <w:p w:rsidR="008E3B47" w:rsidRPr="003210F5" w:rsidRDefault="008E3B47" w:rsidP="00BD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10F5">
        <w:rPr>
          <w:rFonts w:ascii="Verdana" w:hAnsi="Verdana" w:cs="Verdana"/>
        </w:rPr>
        <w:t>- Le modèle comptable normal pour les entreprises dont le CA annuel ne dépasse pas 10 000 000 DHS au lieu de 7 500 000 DHS.</w:t>
      </w:r>
    </w:p>
    <w:p w:rsidR="008E3B47" w:rsidRPr="003210F5" w:rsidRDefault="008E3B47" w:rsidP="00BD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10F5">
        <w:rPr>
          <w:rFonts w:ascii="Verdana" w:hAnsi="Verdana" w:cs="Verdana"/>
        </w:rPr>
        <w:t xml:space="preserve">- Dispenser les </w:t>
      </w:r>
      <w:hyperlink r:id="rId5" w:tgtFrame="_blank" w:tooltip="Sponsor Link By eDintorni" w:history="1">
        <w:r w:rsidRPr="003210F5">
          <w:rPr>
            <w:rStyle w:val="Hyperlink"/>
            <w:rFonts w:ascii="Verdana" w:hAnsi="Verdana" w:cs="Verdana"/>
            <w:u w:val="single"/>
          </w:rPr>
          <w:t>personnes</w:t>
        </w:r>
      </w:hyperlink>
      <w:r w:rsidRPr="003210F5">
        <w:rPr>
          <w:rFonts w:ascii="Verdana" w:hAnsi="Verdana" w:cs="Verdana"/>
        </w:rPr>
        <w:t xml:space="preserve"> physiques dont le CA annuel n'excède pas 2 millions de DHS de faire coter et parapher les </w:t>
      </w:r>
      <w:hyperlink r:id="rId6" w:tgtFrame="_blank" w:history="1">
        <w:r w:rsidRPr="003210F5">
          <w:rPr>
            <w:rStyle w:val="Hyperlink"/>
            <w:rFonts w:ascii="Verdana" w:hAnsi="Verdana" w:cs="Verdana"/>
            <w:u w:val="single"/>
          </w:rPr>
          <w:t>livres</w:t>
        </w:r>
      </w:hyperlink>
      <w:r w:rsidRPr="003210F5">
        <w:rPr>
          <w:rFonts w:ascii="Verdana" w:hAnsi="Verdana" w:cs="Verdana"/>
        </w:rPr>
        <w:t xml:space="preserve"> légaux mais de les conserver pondant la durée légale de 10 ans.</w:t>
      </w:r>
    </w:p>
    <w:p w:rsidR="008E3B47" w:rsidRPr="003210F5" w:rsidRDefault="008E3B47" w:rsidP="00BD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10F5">
        <w:rPr>
          <w:rFonts w:ascii="Verdana" w:hAnsi="Verdana" w:cs="Verdana"/>
        </w:rPr>
        <w:t>- Le manuel des procédures comptables est obligatoire à partir de 10 millions de Dhs au lieu de 7.5 millions de Dhs...........etc</w:t>
      </w:r>
      <w:r>
        <w:rPr>
          <w:rFonts w:ascii="Verdana" w:hAnsi="Verdana" w:cs="Verdana"/>
        </w:rPr>
        <w:t>.</w:t>
      </w:r>
    </w:p>
    <w:p w:rsidR="008E3B47" w:rsidRPr="00520701" w:rsidRDefault="008E3B47" w:rsidP="00457CE6">
      <w:pPr>
        <w:autoSpaceDE w:val="0"/>
        <w:autoSpaceDN w:val="0"/>
        <w:adjustRightInd w:val="0"/>
        <w:spacing w:after="0" w:line="240" w:lineRule="auto"/>
      </w:pPr>
    </w:p>
    <w:sectPr w:rsidR="008E3B47" w:rsidRPr="00520701" w:rsidSect="00FE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DB9"/>
    <w:rsid w:val="000C5B6B"/>
    <w:rsid w:val="00191DB8"/>
    <w:rsid w:val="001E6085"/>
    <w:rsid w:val="00234511"/>
    <w:rsid w:val="002F478B"/>
    <w:rsid w:val="003210F5"/>
    <w:rsid w:val="00457CE6"/>
    <w:rsid w:val="00493D72"/>
    <w:rsid w:val="00495FA1"/>
    <w:rsid w:val="004B466F"/>
    <w:rsid w:val="00520701"/>
    <w:rsid w:val="007502E5"/>
    <w:rsid w:val="0079081D"/>
    <w:rsid w:val="00814352"/>
    <w:rsid w:val="008E3B47"/>
    <w:rsid w:val="00AD6E69"/>
    <w:rsid w:val="00AF5D4C"/>
    <w:rsid w:val="00B604D5"/>
    <w:rsid w:val="00B936C4"/>
    <w:rsid w:val="00BD4EAA"/>
    <w:rsid w:val="00D95CA7"/>
    <w:rsid w:val="00DF10D9"/>
    <w:rsid w:val="00EA110F"/>
    <w:rsid w:val="00EE1224"/>
    <w:rsid w:val="00EF1DB9"/>
    <w:rsid w:val="00F77E19"/>
    <w:rsid w:val="00FA6387"/>
    <w:rsid w:val="00FE170A"/>
    <w:rsid w:val="00FE5F05"/>
    <w:rsid w:val="00FE7C59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D4EAA"/>
    <w:rPr>
      <w:color w:val="auto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BD4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v.edintorni.net/click/?mo=T&amp;ky=livres&amp;af=20086&amp;ct=fr&amp;rf=http%3A%2F%2Ffiscalistes%2Efrbb%2Enet%2Fdivers%2Darticles%2Det%2Ddiscussions%2Dayant%2Dun%2Drapport%2Davec%2Dnotre%2Dformation%2Df8%2Fla%2Dloi%2D44%2D03%2Dmodifiant%2Dla%2Dloi%2D9%2D88%2Dt17%2Ehtm&amp;re=&amp;ts=1263332029609&amp;hs=b555a25606ad98b0a250aa9080bcd87a" TargetMode="External"/><Relationship Id="rId5" Type="http://schemas.openxmlformats.org/officeDocument/2006/relationships/hyperlink" Target="http://adv.edintorni.net/click/?mo=T&amp;ky=personnes&amp;af=20086&amp;ct=fr&amp;rf=http%3A%2F%2Ffiscalistes%2Efrbb%2Enet%2Fdivers%2Darticles%2Det%2Ddiscussions%2Dayant%2Dun%2Drapport%2Davec%2Dnotre%2Dformation%2Df8%2Fla%2Dloi%2D44%2D03%2Dmodifiant%2Dla%2Dloi%2D9%2D88%2Dt17%2Ehtm&amp;re=&amp;ts=1263332029609&amp;hs=93853cd4db878daa2665722b6aea487d" TargetMode="External"/><Relationship Id="rId4" Type="http://schemas.openxmlformats.org/officeDocument/2006/relationships/hyperlink" Target="http://adv.edintorni.net/click/?mo=T&amp;ky=comptable&amp;af=20086&amp;ct=fr&amp;rf=http%3A%2F%2Ffiscalistes%2Efrbb%2Enet%2Fdivers%2Darticles%2Det%2Ddiscussions%2Dayant%2Dun%2Drapport%2Davec%2Dnotre%2Dformation%2Df8%2Fla%2Dloi%2D44%2D03%2Dmodifiant%2Dla%2Dloi%2D9%2D88%2Dt17%2Ehtm&amp;re=&amp;ts=1263332029609&amp;hs=39462c9963da575cb768dc2362fd9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2389</Words>
  <Characters>13143</Characters>
  <Application>Microsoft Office Outlook</Application>
  <DocSecurity>0</DocSecurity>
  <Lines>0</Lines>
  <Paragraphs>0</Paragraphs>
  <ScaleCrop>false</ScaleCrop>
  <Company>Unicornis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n ° 9-88 relative aux obligations comptables des commerçants</dc:title>
  <dc:subject/>
  <dc:creator>Unicornis</dc:creator>
  <cp:keywords/>
  <dc:description/>
  <cp:lastModifiedBy>MFG</cp:lastModifiedBy>
  <cp:revision>2</cp:revision>
  <dcterms:created xsi:type="dcterms:W3CDTF">2010-03-05T18:13:00Z</dcterms:created>
  <dcterms:modified xsi:type="dcterms:W3CDTF">2010-03-05T18:13:00Z</dcterms:modified>
</cp:coreProperties>
</file>