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47" w:rsidRDefault="008E3B47" w:rsidP="00FF5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20701">
        <w:rPr>
          <w:rFonts w:ascii="Times New Roman" w:hAnsi="Times New Roman" w:cs="Times New Roman"/>
          <w:b/>
          <w:bCs/>
        </w:rPr>
        <w:t>Loi n ° 9-88 relative aux obligations comptables des commerçants</w:t>
      </w:r>
    </w:p>
    <w:p w:rsidR="008E3B47" w:rsidRPr="00520701" w:rsidRDefault="008E3B47" w:rsidP="00FF5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E3B47" w:rsidRDefault="008E3B47" w:rsidP="00191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0701">
        <w:rPr>
          <w:rFonts w:ascii="Times New Roman" w:hAnsi="Times New Roman" w:cs="Times New Roman"/>
          <w:b/>
          <w:bCs/>
        </w:rPr>
        <w:t xml:space="preserve">Article Premier </w:t>
      </w:r>
      <w:r w:rsidRPr="00520701">
        <w:rPr>
          <w:rFonts w:ascii="Times New Roman" w:hAnsi="Times New Roman" w:cs="Times New Roman"/>
        </w:rPr>
        <w:t>:</w:t>
      </w:r>
    </w:p>
    <w:p w:rsidR="008E3B47" w:rsidRPr="00FF5292" w:rsidRDefault="008E3B47" w:rsidP="005207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FF5292">
        <w:rPr>
          <w:rFonts w:ascii="Times New Roman" w:hAnsi="Times New Roman" w:cs="Times New Roman"/>
        </w:rPr>
        <w:t xml:space="preserve">Toute personne physique ou morale ayant la qualité de commerçant au sens du Code de commerce est tenue </w:t>
      </w:r>
      <w:r w:rsidRPr="00FF5292">
        <w:rPr>
          <w:rFonts w:ascii="Times New Roman" w:hAnsi="Times New Roman" w:cs="Times New Roman"/>
          <w:b/>
          <w:bCs/>
          <w:color w:val="FF0000"/>
        </w:rPr>
        <w:t>de tenir une comptabilité dans les formes prescrite</w:t>
      </w:r>
      <w:r w:rsidRPr="00FF5292">
        <w:rPr>
          <w:rFonts w:ascii="Times New Roman" w:hAnsi="Times New Roman" w:cs="Times New Roman"/>
        </w:rPr>
        <w:t>s par la présente loi et les indications figurant aux tableaux y annexés.</w:t>
      </w:r>
    </w:p>
    <w:p w:rsidR="008E3B47" w:rsidRPr="00FF5292" w:rsidRDefault="008E3B47" w:rsidP="005207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FF0000"/>
        </w:rPr>
      </w:pPr>
      <w:r w:rsidRPr="00FF5292">
        <w:rPr>
          <w:rFonts w:ascii="Times New Roman" w:hAnsi="Times New Roman" w:cs="Times New Roman"/>
        </w:rPr>
        <w:t xml:space="preserve">A cette fin, elle doit procéder à l'enregistrement comptable des mouvements affectant les actifs et les passifs de son entreprise ; </w:t>
      </w:r>
      <w:r w:rsidRPr="00FF5292">
        <w:rPr>
          <w:rFonts w:ascii="Times New Roman" w:hAnsi="Times New Roman" w:cs="Times New Roman"/>
          <w:b/>
          <w:bCs/>
          <w:color w:val="FF0000"/>
        </w:rPr>
        <w:t>ces mouvements sont enregistrés chronologiquement, opération par opération et jour par jour.</w:t>
      </w:r>
    </w:p>
    <w:p w:rsidR="008E3B47" w:rsidRPr="00520701" w:rsidRDefault="008E3B47" w:rsidP="005207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520701">
        <w:rPr>
          <w:rFonts w:ascii="Times New Roman" w:hAnsi="Times New Roman" w:cs="Times New Roman"/>
        </w:rPr>
        <w:t xml:space="preserve">Tout enregistrement comptable précise </w:t>
      </w:r>
      <w:r w:rsidRPr="00FF5292">
        <w:rPr>
          <w:rFonts w:ascii="Times New Roman" w:hAnsi="Times New Roman" w:cs="Times New Roman"/>
          <w:b/>
          <w:bCs/>
          <w:color w:val="FF0000"/>
        </w:rPr>
        <w:t>l'origine</w:t>
      </w:r>
      <w:r w:rsidRPr="00520701">
        <w:rPr>
          <w:rFonts w:ascii="Times New Roman" w:hAnsi="Times New Roman" w:cs="Times New Roman"/>
        </w:rPr>
        <w:t xml:space="preserve">, </w:t>
      </w:r>
      <w:r w:rsidRPr="00FF5292">
        <w:rPr>
          <w:rFonts w:ascii="Times New Roman" w:hAnsi="Times New Roman" w:cs="Times New Roman"/>
          <w:b/>
          <w:bCs/>
          <w:color w:val="FF0000"/>
        </w:rPr>
        <w:t>le contenu et l'imputation</w:t>
      </w:r>
      <w:r w:rsidRPr="00520701">
        <w:rPr>
          <w:rFonts w:ascii="Times New Roman" w:hAnsi="Times New Roman" w:cs="Times New Roman"/>
        </w:rPr>
        <w:t xml:space="preserve"> du mouvement ainsi que les références de </w:t>
      </w:r>
      <w:r w:rsidRPr="00FF5292">
        <w:rPr>
          <w:rFonts w:ascii="Times New Roman" w:hAnsi="Times New Roman" w:cs="Times New Roman"/>
          <w:b/>
          <w:bCs/>
          <w:color w:val="FF0000"/>
        </w:rPr>
        <w:t>la pièce justificative</w:t>
      </w:r>
      <w:r w:rsidRPr="00520701">
        <w:rPr>
          <w:rFonts w:ascii="Times New Roman" w:hAnsi="Times New Roman" w:cs="Times New Roman"/>
        </w:rPr>
        <w:t xml:space="preserve"> qui l'appuie.</w:t>
      </w:r>
    </w:p>
    <w:p w:rsidR="008E3B47" w:rsidRPr="00520701" w:rsidRDefault="008E3B47" w:rsidP="005207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520701">
        <w:rPr>
          <w:rFonts w:ascii="Times New Roman" w:hAnsi="Times New Roman" w:cs="Times New Roman"/>
        </w:rPr>
        <w:t>Les opérations de même nature, réalisées en un même lieu et au cours d'une même journée peuvent être récapitulées sur une pièce justificative unique.</w:t>
      </w:r>
    </w:p>
    <w:p w:rsidR="008E3B47" w:rsidRPr="00520701" w:rsidRDefault="008E3B47" w:rsidP="005207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</w:rPr>
      </w:pPr>
      <w:r w:rsidRPr="00520701">
        <w:rPr>
          <w:rFonts w:ascii="Times New Roman" w:hAnsi="Times New Roman" w:cs="Times New Roman"/>
          <w:b/>
          <w:bCs/>
          <w:i/>
          <w:iCs/>
        </w:rPr>
        <w:t xml:space="preserve">Toutefois, </w:t>
      </w:r>
      <w:r w:rsidRPr="00191DB8">
        <w:rPr>
          <w:rFonts w:ascii="Times New Roman" w:hAnsi="Times New Roman" w:cs="Times New Roman"/>
          <w:b/>
          <w:bCs/>
          <w:i/>
          <w:iCs/>
          <w:color w:val="FF0000"/>
        </w:rPr>
        <w:t>les personnes physiques</w:t>
      </w:r>
      <w:r w:rsidRPr="00520701">
        <w:rPr>
          <w:rFonts w:ascii="Times New Roman" w:hAnsi="Times New Roman" w:cs="Times New Roman"/>
          <w:b/>
          <w:bCs/>
          <w:i/>
          <w:iCs/>
        </w:rPr>
        <w:t xml:space="preserve"> dont le chiffre d'affaires annuel </w:t>
      </w:r>
      <w:r w:rsidRPr="00191DB8">
        <w:rPr>
          <w:rFonts w:ascii="Times New Roman" w:hAnsi="Times New Roman" w:cs="Times New Roman"/>
          <w:b/>
          <w:bCs/>
          <w:i/>
          <w:iCs/>
          <w:color w:val="FF0000"/>
        </w:rPr>
        <w:t>n'excède pas deux millions de dirhams (2.000.000 DH)</w:t>
      </w:r>
      <w:r w:rsidRPr="00520701">
        <w:rPr>
          <w:rFonts w:ascii="Times New Roman" w:hAnsi="Times New Roman" w:cs="Times New Roman"/>
          <w:b/>
          <w:bCs/>
          <w:i/>
          <w:iCs/>
        </w:rPr>
        <w:t>, à l'exception des agents d'assurances, peuvent :</w:t>
      </w:r>
    </w:p>
    <w:p w:rsidR="008E3B47" w:rsidRPr="00520701" w:rsidRDefault="008E3B47" w:rsidP="0052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520701">
        <w:rPr>
          <w:rFonts w:ascii="Times New Roman" w:hAnsi="Times New Roman" w:cs="Times New Roman"/>
          <w:b/>
          <w:bCs/>
          <w:i/>
          <w:iCs/>
        </w:rPr>
        <w:t>- procéder à l'enregistrement chronologique et global, jour par jour, des opérations à leur date d'encaissement ou de décaissement ;</w:t>
      </w:r>
    </w:p>
    <w:p w:rsidR="008E3B47" w:rsidRPr="00520701" w:rsidRDefault="008E3B47" w:rsidP="0052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520701">
        <w:rPr>
          <w:rFonts w:ascii="Times New Roman" w:hAnsi="Times New Roman" w:cs="Times New Roman"/>
          <w:b/>
          <w:bCs/>
          <w:i/>
          <w:iCs/>
        </w:rPr>
        <w:t>- enregistrer globalement les créances et les dettes à la clôture de l'exercice sur une liste sommaire mentionnant l'identité des clients et des fournisseurs et le montant de leurs dettes ;</w:t>
      </w:r>
    </w:p>
    <w:p w:rsidR="008E3B47" w:rsidRPr="00520701" w:rsidRDefault="008E3B47" w:rsidP="0052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520701">
        <w:rPr>
          <w:rFonts w:ascii="Times New Roman" w:hAnsi="Times New Roman" w:cs="Times New Roman"/>
          <w:b/>
          <w:bCs/>
          <w:i/>
          <w:iCs/>
        </w:rPr>
        <w:t>- enregistrer, en cas de nécessité, les mesures dépenses sur la base de pièces justificatives internes signées par le commerçant concerné.</w:t>
      </w:r>
    </w:p>
    <w:p w:rsidR="008E3B47" w:rsidRPr="00520701" w:rsidRDefault="008E3B47" w:rsidP="0052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E3B47" w:rsidRPr="00191DB8" w:rsidRDefault="008E3B47" w:rsidP="00191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20701">
        <w:rPr>
          <w:rFonts w:ascii="Times New Roman" w:hAnsi="Times New Roman" w:cs="Times New Roman"/>
          <w:b/>
          <w:bCs/>
        </w:rPr>
        <w:t>Article 2 :</w:t>
      </w:r>
    </w:p>
    <w:p w:rsidR="008E3B47" w:rsidRPr="00520701" w:rsidRDefault="008E3B47" w:rsidP="005207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520701">
        <w:rPr>
          <w:rFonts w:ascii="Times New Roman" w:hAnsi="Times New Roman" w:cs="Times New Roman"/>
        </w:rPr>
        <w:t>Les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enregistrements visés à l'article premier ci-dessus sont portés sous forme d'écritures sur un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 xml:space="preserve">registre dénommé </w:t>
      </w:r>
      <w:r w:rsidRPr="00191DB8">
        <w:rPr>
          <w:rFonts w:ascii="Times New Roman" w:hAnsi="Times New Roman" w:cs="Times New Roman"/>
          <w:b/>
          <w:bCs/>
          <w:color w:val="FF0000"/>
        </w:rPr>
        <w:t>" livre-journal ".</w:t>
      </w:r>
    </w:p>
    <w:p w:rsidR="008E3B47" w:rsidRPr="00520701" w:rsidRDefault="008E3B47" w:rsidP="005207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520701">
        <w:rPr>
          <w:rFonts w:ascii="Times New Roman" w:hAnsi="Times New Roman" w:cs="Times New Roman"/>
        </w:rPr>
        <w:t>Toute écriture affecte au moins deux comptes dont l'un est débité et l'autre est crédité d'une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somme identique.</w:t>
      </w:r>
    </w:p>
    <w:p w:rsidR="008E3B47" w:rsidRPr="00520701" w:rsidRDefault="008E3B47" w:rsidP="005207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520701">
        <w:rPr>
          <w:rFonts w:ascii="Times New Roman" w:hAnsi="Times New Roman" w:cs="Times New Roman"/>
        </w:rPr>
        <w:t xml:space="preserve">Les écritures du livre-journal sont reportées sur un registre dénommé </w:t>
      </w:r>
      <w:r w:rsidRPr="00191DB8">
        <w:rPr>
          <w:rFonts w:ascii="Times New Roman" w:hAnsi="Times New Roman" w:cs="Times New Roman"/>
          <w:b/>
          <w:bCs/>
          <w:color w:val="FF0000"/>
        </w:rPr>
        <w:t>"grand-livre"</w:t>
      </w:r>
      <w:r w:rsidRPr="00520701">
        <w:rPr>
          <w:rFonts w:ascii="Times New Roman" w:hAnsi="Times New Roman" w:cs="Times New Roman"/>
        </w:rPr>
        <w:t xml:space="preserve"> ayant pour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objet de les enregistrer selon le plan de comptes du commerçant.</w:t>
      </w:r>
    </w:p>
    <w:p w:rsidR="008E3B47" w:rsidRPr="00520701" w:rsidRDefault="008E3B47" w:rsidP="005207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520701">
        <w:rPr>
          <w:rFonts w:ascii="Times New Roman" w:hAnsi="Times New Roman" w:cs="Times New Roman"/>
        </w:rPr>
        <w:t xml:space="preserve">Le </w:t>
      </w:r>
      <w:r w:rsidRPr="00191DB8">
        <w:rPr>
          <w:rFonts w:ascii="Times New Roman" w:hAnsi="Times New Roman" w:cs="Times New Roman"/>
          <w:b/>
          <w:bCs/>
          <w:color w:val="FF0000"/>
        </w:rPr>
        <w:t>plan de comptes</w:t>
      </w:r>
      <w:r w:rsidRPr="00520701">
        <w:rPr>
          <w:rFonts w:ascii="Times New Roman" w:hAnsi="Times New Roman" w:cs="Times New Roman"/>
        </w:rPr>
        <w:t xml:space="preserve"> doit comprendre des classes de comptes de situation, des classes de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comptes de gestion et des classes de comptes spéciaux, telles qu'elles sont définies aux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tableaux annexés à la présente loi.</w:t>
      </w:r>
    </w:p>
    <w:p w:rsidR="008E3B47" w:rsidRDefault="008E3B47" w:rsidP="005207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</w:rPr>
      </w:pPr>
      <w:r w:rsidRPr="00520701">
        <w:rPr>
          <w:rFonts w:ascii="Times New Roman" w:hAnsi="Times New Roman" w:cs="Times New Roman"/>
          <w:b/>
          <w:bCs/>
          <w:i/>
          <w:iCs/>
        </w:rPr>
        <w:t>Toutefois, les personnes physiques visées à l'alinéa 5 de l'article premier ci-dessus sont dispensées de la tenue du grand-livre si la balance récapitulative des comptes peut être établie directement du livre journal.</w:t>
      </w:r>
    </w:p>
    <w:p w:rsidR="008E3B47" w:rsidRPr="00520701" w:rsidRDefault="008E3B47" w:rsidP="00191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8E3B47" w:rsidRPr="00191DB8" w:rsidRDefault="008E3B47" w:rsidP="00191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20701">
        <w:rPr>
          <w:rFonts w:ascii="Times New Roman" w:hAnsi="Times New Roman" w:cs="Times New Roman"/>
          <w:b/>
          <w:bCs/>
        </w:rPr>
        <w:t>Article 3 :</w:t>
      </w:r>
    </w:p>
    <w:p w:rsidR="008E3B47" w:rsidRPr="00520701" w:rsidRDefault="008E3B47" w:rsidP="00191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20701"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livre-journal et le grand-livre peuvent être détaillés en autant de registres subséquents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 xml:space="preserve">dénommés </w:t>
      </w:r>
      <w:r w:rsidRPr="00191DB8">
        <w:rPr>
          <w:rFonts w:ascii="Times New Roman" w:hAnsi="Times New Roman" w:cs="Times New Roman"/>
          <w:b/>
          <w:bCs/>
          <w:color w:val="FF0000"/>
        </w:rPr>
        <w:t>" journaux auxiliaires "</w:t>
      </w:r>
      <w:r w:rsidRPr="00520701">
        <w:rPr>
          <w:rFonts w:ascii="Times New Roman" w:hAnsi="Times New Roman" w:cs="Times New Roman"/>
        </w:rPr>
        <w:t xml:space="preserve"> et </w:t>
      </w:r>
      <w:r w:rsidRPr="00191DB8">
        <w:rPr>
          <w:rFonts w:ascii="Times New Roman" w:hAnsi="Times New Roman" w:cs="Times New Roman"/>
          <w:b/>
          <w:bCs/>
          <w:color w:val="FF0000"/>
        </w:rPr>
        <w:t>" livres auxiliaires "</w:t>
      </w:r>
      <w:r w:rsidRPr="00520701">
        <w:rPr>
          <w:rFonts w:ascii="Times New Roman" w:hAnsi="Times New Roman" w:cs="Times New Roman"/>
        </w:rPr>
        <w:t xml:space="preserve"> que l'importance ou les besoins de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l'entreprise l'exigent.</w:t>
      </w:r>
    </w:p>
    <w:p w:rsidR="008E3B47" w:rsidRPr="00520701" w:rsidRDefault="008E3B47" w:rsidP="005207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20701">
        <w:rPr>
          <w:rFonts w:ascii="Times New Roman" w:hAnsi="Times New Roman" w:cs="Times New Roman"/>
        </w:rPr>
        <w:t>Les écritures portées sur les journaux et les livres auxiliaires sont centralisées une fois par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mois sur le livre-journal et le grand-livre.</w:t>
      </w:r>
    </w:p>
    <w:p w:rsidR="008E3B47" w:rsidRPr="00FE7C59" w:rsidRDefault="008E3B47" w:rsidP="00FE7C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</w:rPr>
      </w:pPr>
      <w:r w:rsidRPr="00FE7C59">
        <w:rPr>
          <w:rFonts w:ascii="Times New Roman" w:hAnsi="Times New Roman" w:cs="Times New Roman"/>
          <w:b/>
          <w:bCs/>
          <w:i/>
          <w:iCs/>
        </w:rPr>
        <w:t>Toutefois, les personnes physiques visées à l'alinéa 5 de l'article premier ci-dessus sont autorisées à procéder à la centralisation des écritures portées sur les journaux auxiliaires une fois par exercice à la clôture de ce dernier.</w:t>
      </w:r>
    </w:p>
    <w:p w:rsidR="008E3B47" w:rsidRPr="00520701" w:rsidRDefault="008E3B47" w:rsidP="00191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E3B47" w:rsidRDefault="008E3B47" w:rsidP="00FE7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20701">
        <w:rPr>
          <w:rFonts w:ascii="Times New Roman" w:hAnsi="Times New Roman" w:cs="Times New Roman"/>
          <w:b/>
          <w:bCs/>
        </w:rPr>
        <w:t>Article 4 :</w:t>
      </w:r>
    </w:p>
    <w:p w:rsidR="008E3B47" w:rsidRDefault="008E3B47" w:rsidP="00FE7C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520701">
        <w:rPr>
          <w:rFonts w:ascii="Times New Roman" w:hAnsi="Times New Roman" w:cs="Times New Roman"/>
        </w:rPr>
        <w:t>Les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 xml:space="preserve">personnes assujetties à la présente loi dont le chiffre d'affaires </w:t>
      </w:r>
      <w:r w:rsidRPr="00FE7C59">
        <w:rPr>
          <w:rFonts w:ascii="Times New Roman" w:hAnsi="Times New Roman" w:cs="Times New Roman"/>
          <w:b/>
          <w:bCs/>
          <w:i/>
          <w:iCs/>
        </w:rPr>
        <w:t>annuel est supérieur à dix millions de dirhams (10 000 000 DH)</w:t>
      </w:r>
      <w:r w:rsidRPr="00520701">
        <w:rPr>
          <w:rFonts w:ascii="Times New Roman" w:hAnsi="Times New Roman" w:cs="Times New Roman"/>
        </w:rPr>
        <w:t xml:space="preserve"> doivent établir un manuel qui a pour objet de décrire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l'organisation comptable de leur entreprise.</w:t>
      </w:r>
    </w:p>
    <w:p w:rsidR="008E3B47" w:rsidRPr="00520701" w:rsidRDefault="008E3B47" w:rsidP="00191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3B47" w:rsidRDefault="008E3B47" w:rsidP="00FE7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0701">
        <w:rPr>
          <w:rFonts w:ascii="Times New Roman" w:hAnsi="Times New Roman" w:cs="Times New Roman"/>
          <w:b/>
          <w:bCs/>
        </w:rPr>
        <w:t xml:space="preserve">Article 5 : </w:t>
      </w:r>
      <w:r w:rsidRPr="00520701">
        <w:rPr>
          <w:rFonts w:ascii="Times New Roman" w:hAnsi="Times New Roman" w:cs="Times New Roman"/>
        </w:rPr>
        <w:t>La valeur des éléments actifs et passifs de l'entreprise doivent faire l'objet d'un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inventaire au moins une fois par exercice, à la fin de celui-ci.</w:t>
      </w:r>
    </w:p>
    <w:p w:rsidR="008E3B47" w:rsidRPr="00520701" w:rsidRDefault="008E3B47" w:rsidP="00FE7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3B47" w:rsidRDefault="008E3B47" w:rsidP="00FE7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0701">
        <w:rPr>
          <w:rFonts w:ascii="Times New Roman" w:hAnsi="Times New Roman" w:cs="Times New Roman"/>
          <w:b/>
          <w:bCs/>
        </w:rPr>
        <w:t xml:space="preserve">Article 6 : </w:t>
      </w:r>
      <w:r w:rsidRPr="00520701">
        <w:rPr>
          <w:rFonts w:ascii="Times New Roman" w:hAnsi="Times New Roman" w:cs="Times New Roman"/>
        </w:rPr>
        <w:t>Il doit être tenu un livre d'inventaire sur lequel il est transcrit le bilan et le compte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de produits et charges de chaque exercice.</w:t>
      </w:r>
    </w:p>
    <w:p w:rsidR="008E3B47" w:rsidRPr="00520701" w:rsidRDefault="008E3B47" w:rsidP="00FE7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3B47" w:rsidRDefault="008E3B47" w:rsidP="00FE7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0701">
        <w:rPr>
          <w:rFonts w:ascii="Times New Roman" w:hAnsi="Times New Roman" w:cs="Times New Roman"/>
          <w:b/>
          <w:bCs/>
        </w:rPr>
        <w:t xml:space="preserve">Article 7 : </w:t>
      </w:r>
      <w:r w:rsidRPr="00520701">
        <w:rPr>
          <w:rFonts w:ascii="Times New Roman" w:hAnsi="Times New Roman" w:cs="Times New Roman"/>
        </w:rPr>
        <w:t>La durée de l'exercice est de douze mois. Elle peut exceptionnellement être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inférieure à douze mois, pour un exercice donné.</w:t>
      </w:r>
    </w:p>
    <w:p w:rsidR="008E3B47" w:rsidRPr="00520701" w:rsidRDefault="008E3B47" w:rsidP="00FE7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3B47" w:rsidRDefault="008E3B47" w:rsidP="00FE7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20701">
        <w:rPr>
          <w:rFonts w:ascii="Times New Roman" w:hAnsi="Times New Roman" w:cs="Times New Roman"/>
          <w:b/>
          <w:bCs/>
        </w:rPr>
        <w:t>Article 8 :</w:t>
      </w:r>
    </w:p>
    <w:p w:rsidR="008E3B47" w:rsidRPr="00520701" w:rsidRDefault="008E3B47" w:rsidP="00FE7C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520701"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livre-journal et le livre d'inventaire sont cotés et paraphés, dans la forme ordinaire et sans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frais, par le greffier du tribunal de première instance du siège de l'entreprise. Chaque livre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reçoit un numéro répertorié par le greffier sur un registre spécial.</w:t>
      </w:r>
    </w:p>
    <w:p w:rsidR="008E3B47" w:rsidRPr="00FE7C59" w:rsidRDefault="008E3B47" w:rsidP="00FE7C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</w:rPr>
      </w:pPr>
      <w:r w:rsidRPr="00FE7C59">
        <w:rPr>
          <w:rFonts w:ascii="Times New Roman" w:hAnsi="Times New Roman" w:cs="Times New Roman"/>
          <w:b/>
          <w:bCs/>
          <w:i/>
          <w:iCs/>
        </w:rPr>
        <w:t>Toutefois, les personnes physiques visées à l'alinéa 5 de l'article premier ci-dessus ne sont pas tenues de faire coter et parapher par le greffier du tribunal compétent le livre-journal et le livre d'inventaire, à condition de conserver lesdits livres ainsi que le bilan et le compte de produits et charges pendant dix ans.</w:t>
      </w:r>
    </w:p>
    <w:p w:rsidR="008E3B47" w:rsidRPr="00520701" w:rsidRDefault="008E3B47" w:rsidP="00FE7C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8E3B47" w:rsidRDefault="008E3B47" w:rsidP="0052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20701">
        <w:rPr>
          <w:rFonts w:ascii="Times New Roman" w:hAnsi="Times New Roman" w:cs="Times New Roman"/>
          <w:b/>
          <w:bCs/>
        </w:rPr>
        <w:t xml:space="preserve">Article 9 : </w:t>
      </w:r>
    </w:p>
    <w:p w:rsidR="008E3B47" w:rsidRPr="00520701" w:rsidRDefault="008E3B47" w:rsidP="00FE7C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520701">
        <w:rPr>
          <w:rFonts w:ascii="Times New Roman" w:hAnsi="Times New Roman" w:cs="Times New Roman"/>
        </w:rPr>
        <w:t>Sous réserve des dispositions prévues aux articles 19, 20 et 21 ci-après, les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personnes assujetties à la présente loi doivent établir des états de synthèse annuels, à la clôture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de l'exercice, sur le fondement des enregistrements comptables et de l'inventaire retracés dans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le livre-journal, le grand-livre et le livre d'inventaire.</w:t>
      </w:r>
    </w:p>
    <w:p w:rsidR="008E3B47" w:rsidRDefault="008E3B47" w:rsidP="00FE7C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520701">
        <w:rPr>
          <w:rFonts w:ascii="Times New Roman" w:hAnsi="Times New Roman" w:cs="Times New Roman"/>
        </w:rPr>
        <w:t>Ces états de synthèse comprennent le bilan, le compte de produits et charges, l'état des soldes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de gestion, le tableau de financement et l'état les informations complémentaires. Ils forment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un tout indissociable.</w:t>
      </w:r>
    </w:p>
    <w:p w:rsidR="008E3B47" w:rsidRPr="00520701" w:rsidRDefault="008E3B47" w:rsidP="00FE7C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8E3B47" w:rsidRDefault="008E3B47" w:rsidP="0052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20701">
        <w:rPr>
          <w:rFonts w:ascii="Times New Roman" w:hAnsi="Times New Roman" w:cs="Times New Roman"/>
          <w:b/>
          <w:bCs/>
        </w:rPr>
        <w:t>Article 10 :</w:t>
      </w:r>
    </w:p>
    <w:p w:rsidR="008E3B47" w:rsidRPr="00520701" w:rsidRDefault="008E3B47" w:rsidP="00FE7C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520701">
        <w:rPr>
          <w:rFonts w:ascii="Times New Roman" w:hAnsi="Times New Roman" w:cs="Times New Roman"/>
          <w:b/>
          <w:bCs/>
        </w:rPr>
        <w:t xml:space="preserve"> </w:t>
      </w:r>
      <w:r w:rsidRPr="00520701">
        <w:rPr>
          <w:rFonts w:ascii="Times New Roman" w:hAnsi="Times New Roman" w:cs="Times New Roman"/>
        </w:rPr>
        <w:t>Le bilan décrit séparément les éléments actifs et passifs de l'entreprise.</w:t>
      </w:r>
    </w:p>
    <w:p w:rsidR="008E3B47" w:rsidRPr="00520701" w:rsidRDefault="008E3B47" w:rsidP="00FE7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0701">
        <w:rPr>
          <w:rFonts w:ascii="Times New Roman" w:hAnsi="Times New Roman" w:cs="Times New Roman"/>
        </w:rPr>
        <w:t>Le compte de produits et charges récapitule les produits et les charges de l'exercice, sans qu'il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soit tenu compte de leur date d'encaissement ou de paiement.</w:t>
      </w:r>
    </w:p>
    <w:p w:rsidR="008E3B47" w:rsidRPr="00520701" w:rsidRDefault="008E3B47" w:rsidP="00FE7C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520701">
        <w:rPr>
          <w:rFonts w:ascii="Times New Roman" w:hAnsi="Times New Roman" w:cs="Times New Roman"/>
        </w:rPr>
        <w:t>L'état des soldes de gestion décrit la formation du résultat net et celle de l'autofinancement.</w:t>
      </w:r>
    </w:p>
    <w:p w:rsidR="008E3B47" w:rsidRPr="00520701" w:rsidRDefault="008E3B47" w:rsidP="00FE7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0701">
        <w:rPr>
          <w:rFonts w:ascii="Times New Roman" w:hAnsi="Times New Roman" w:cs="Times New Roman"/>
        </w:rPr>
        <w:t>Le tableau de financement met en évidence l'évolution financière de l'entreprise au cours de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l'exercice en décrivant les ressources dont elle a disposé et les emplois qu'elle en a effectués.</w:t>
      </w:r>
    </w:p>
    <w:p w:rsidR="008E3B47" w:rsidRDefault="008E3B47" w:rsidP="00FE7C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520701">
        <w:rPr>
          <w:rFonts w:ascii="Times New Roman" w:hAnsi="Times New Roman" w:cs="Times New Roman"/>
        </w:rPr>
        <w:t>L'état des informations complémentaires complète et commente l'information donnée par le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bilan, le compte de produits et charges, l'état des soldes de gestion et le tableau de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financement.</w:t>
      </w:r>
    </w:p>
    <w:p w:rsidR="008E3B47" w:rsidRPr="00520701" w:rsidRDefault="008E3B47" w:rsidP="00FE7C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8E3B47" w:rsidRDefault="008E3B47" w:rsidP="00FE7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20701">
        <w:rPr>
          <w:rFonts w:ascii="Times New Roman" w:hAnsi="Times New Roman" w:cs="Times New Roman"/>
          <w:b/>
          <w:bCs/>
        </w:rPr>
        <w:t xml:space="preserve">Article 11 : </w:t>
      </w:r>
    </w:p>
    <w:p w:rsidR="008E3B47" w:rsidRPr="00520701" w:rsidRDefault="008E3B47" w:rsidP="00FE7C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520701">
        <w:rPr>
          <w:rFonts w:ascii="Times New Roman" w:hAnsi="Times New Roman" w:cs="Times New Roman"/>
        </w:rPr>
        <w:t>Les états de synthèse doivent donner une image fidèle des actifs et passifs ainsi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que de la situation financière et des résultats de l'entreprise.</w:t>
      </w:r>
    </w:p>
    <w:p w:rsidR="008E3B47" w:rsidRPr="00520701" w:rsidRDefault="008E3B47" w:rsidP="00FE7C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520701">
        <w:rPr>
          <w:rFonts w:ascii="Times New Roman" w:hAnsi="Times New Roman" w:cs="Times New Roman"/>
        </w:rPr>
        <w:t>A cette fin, ils doivent comprendre autant d'informations qu'il est nécessaire pour donner une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image fidèle des actifs et passifs ainsi que de la situation financière et des résultats de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l'entreprise.</w:t>
      </w:r>
    </w:p>
    <w:p w:rsidR="008E3B47" w:rsidRDefault="008E3B47" w:rsidP="00DF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0701">
        <w:rPr>
          <w:rFonts w:ascii="Times New Roman" w:hAnsi="Times New Roman" w:cs="Times New Roman"/>
        </w:rPr>
        <w:t>Lorsque l'application d'une prescription comptable ne suffit pas pour donner l'image fidèle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mentionnée au présent article, des informations complémentaires doivent être données.</w:t>
      </w:r>
    </w:p>
    <w:p w:rsidR="008E3B47" w:rsidRPr="00520701" w:rsidRDefault="008E3B47" w:rsidP="00DF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3B47" w:rsidRDefault="008E3B47" w:rsidP="00DF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20701">
        <w:rPr>
          <w:rFonts w:ascii="Times New Roman" w:hAnsi="Times New Roman" w:cs="Times New Roman"/>
          <w:b/>
          <w:bCs/>
        </w:rPr>
        <w:t>Article 12 :</w:t>
      </w:r>
    </w:p>
    <w:p w:rsidR="008E3B47" w:rsidRDefault="008E3B47" w:rsidP="00DF10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520701">
        <w:rPr>
          <w:rFonts w:ascii="Times New Roman" w:hAnsi="Times New Roman" w:cs="Times New Roman"/>
        </w:rPr>
        <w:t>Le bilan, le compte de produits et charges, l'état des soldes de gestion et le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tableau de financement comportent des masses subdivisées en rubriques elles-mêmes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subdivisées en postes.</w:t>
      </w:r>
    </w:p>
    <w:p w:rsidR="008E3B47" w:rsidRPr="00520701" w:rsidRDefault="008E3B47" w:rsidP="00DF10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8E3B47" w:rsidRDefault="008E3B47" w:rsidP="00DF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20701">
        <w:rPr>
          <w:rFonts w:ascii="Times New Roman" w:hAnsi="Times New Roman" w:cs="Times New Roman"/>
          <w:b/>
          <w:bCs/>
        </w:rPr>
        <w:t xml:space="preserve">Article 13 : </w:t>
      </w:r>
    </w:p>
    <w:p w:rsidR="008E3B47" w:rsidRPr="00520701" w:rsidRDefault="008E3B47" w:rsidP="00DF10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520701">
        <w:rPr>
          <w:rFonts w:ascii="Times New Roman" w:hAnsi="Times New Roman" w:cs="Times New Roman"/>
        </w:rPr>
        <w:t>La présentation des états de synthèse comme les modalités d'évaluation retenues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ne peuvent être modifiées d'un exercice à l'autre.</w:t>
      </w:r>
    </w:p>
    <w:p w:rsidR="008E3B47" w:rsidRDefault="008E3B47" w:rsidP="00DF10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520701">
        <w:rPr>
          <w:rFonts w:ascii="Times New Roman" w:hAnsi="Times New Roman" w:cs="Times New Roman"/>
        </w:rPr>
        <w:t>Si des modifications interviennent, elles sont décrites et justifiées dans l'état des informations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complémentaires.</w:t>
      </w:r>
    </w:p>
    <w:p w:rsidR="008E3B47" w:rsidRPr="00520701" w:rsidRDefault="008E3B47" w:rsidP="00DF10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8E3B47" w:rsidRPr="00191DB8" w:rsidRDefault="008E3B47" w:rsidP="00191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20701">
        <w:rPr>
          <w:rFonts w:ascii="Times New Roman" w:hAnsi="Times New Roman" w:cs="Times New Roman"/>
          <w:b/>
          <w:bCs/>
        </w:rPr>
        <w:t>Article 14 :</w:t>
      </w:r>
    </w:p>
    <w:p w:rsidR="008E3B47" w:rsidRPr="00520701" w:rsidRDefault="008E3B47" w:rsidP="00DF10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520701">
        <w:rPr>
          <w:rFonts w:ascii="Times New Roman" w:hAnsi="Times New Roman" w:cs="Times New Roman"/>
        </w:rPr>
        <w:t>A leur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date d'entrée dans l'entreprise, les biens acquis à titre onéreux sont enregistrés à leur coût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d'acquisition, les biens acquis à titre gratuit à leur valeur actuelle et les biens produits à leur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coût de production.</w:t>
      </w:r>
    </w:p>
    <w:p w:rsidR="008E3B47" w:rsidRPr="00520701" w:rsidRDefault="008E3B47" w:rsidP="00DF10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520701">
        <w:rPr>
          <w:rFonts w:ascii="Times New Roman" w:hAnsi="Times New Roman" w:cs="Times New Roman"/>
        </w:rPr>
        <w:t>A leur date d'entrée dans l'entreprise, les titres acquis à titre onéreux sont enregistrés à leur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prix d'achat.</w:t>
      </w:r>
    </w:p>
    <w:p w:rsidR="008E3B47" w:rsidRPr="00520701" w:rsidRDefault="008E3B47" w:rsidP="00DF10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520701">
        <w:rPr>
          <w:rFonts w:ascii="Times New Roman" w:hAnsi="Times New Roman" w:cs="Times New Roman"/>
        </w:rPr>
        <w:t>A leur date d'entrée dans l'entreprise, les créances, dettes et disponibilités sont inscrites en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comptabilité pour leur montant nominal. Les créances, dettes et disponibilités libellées en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monnaie étrangère sont converties en monnaie nationale à leur date d'entrée.</w:t>
      </w:r>
    </w:p>
    <w:p w:rsidR="008E3B47" w:rsidRPr="00520701" w:rsidRDefault="008E3B47" w:rsidP="00DF10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520701">
        <w:rPr>
          <w:rFonts w:ascii="Times New Roman" w:hAnsi="Times New Roman" w:cs="Times New Roman"/>
        </w:rPr>
        <w:t>La valeur d'entrée des éléments de l'actif immobilisé dont l'utilisation est limitée dans le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temps doit faire l'objet de corrections de valeur sous forme d'amortissement.</w:t>
      </w:r>
    </w:p>
    <w:p w:rsidR="008E3B47" w:rsidRPr="00520701" w:rsidRDefault="008E3B47" w:rsidP="00DF10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520701">
        <w:rPr>
          <w:rFonts w:ascii="Times New Roman" w:hAnsi="Times New Roman" w:cs="Times New Roman"/>
        </w:rPr>
        <w:t>L'amortissement consiste à étaler le montant amortissable de l'immobilisation sur sa durée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prévisionnelle d'utilisation par l'entreprise selon un plan d'amortissement.</w:t>
      </w:r>
    </w:p>
    <w:p w:rsidR="008E3B47" w:rsidRPr="00520701" w:rsidRDefault="008E3B47" w:rsidP="00DF10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520701">
        <w:rPr>
          <w:rFonts w:ascii="Times New Roman" w:hAnsi="Times New Roman" w:cs="Times New Roman"/>
        </w:rPr>
        <w:t>La valeur d'entrée diminuée du montant cumulé des amortissements forme la valeur nette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d'amortissements de l'immobilisation.</w:t>
      </w:r>
    </w:p>
    <w:p w:rsidR="008E3B47" w:rsidRPr="00520701" w:rsidRDefault="008E3B47" w:rsidP="00DF10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520701">
        <w:rPr>
          <w:rFonts w:ascii="Times New Roman" w:hAnsi="Times New Roman" w:cs="Times New Roman"/>
        </w:rPr>
        <w:t>A la date d'inventaire, la valeur actuelle est comparée à la valeur d'entrée pour les éléments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non amortissables ou à la valeur nette d'amortissements, après amortissement de l'exercice,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pour les immobilisations amortissables.</w:t>
      </w:r>
    </w:p>
    <w:p w:rsidR="008E3B47" w:rsidRPr="00520701" w:rsidRDefault="008E3B47" w:rsidP="00DF10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520701">
        <w:rPr>
          <w:rFonts w:ascii="Times New Roman" w:hAnsi="Times New Roman" w:cs="Times New Roman"/>
        </w:rPr>
        <w:t>Seules les moins-values dégagées de cette comparaison sont inscrites en comptabilité soit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sous forme d'amortissements exceptionnels Si elles ont un caractère définitif soit sous forme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de provisions pour dépréciation si elles n'ont pas un caractère définitif.</w:t>
      </w:r>
    </w:p>
    <w:p w:rsidR="008E3B47" w:rsidRPr="00520701" w:rsidRDefault="008E3B47" w:rsidP="00DF10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520701">
        <w:rPr>
          <w:rFonts w:ascii="Times New Roman" w:hAnsi="Times New Roman" w:cs="Times New Roman"/>
        </w:rPr>
        <w:t>La valeur comptable nette des éléments d'actif est soit la valeur d'entrée ou la valeur nette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d'amortissements si la valeur actuelle leur est supérieure ou égale, soit la valeur actuelle si elle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leur est inférieure.</w:t>
      </w:r>
    </w:p>
    <w:p w:rsidR="008E3B47" w:rsidRPr="00520701" w:rsidRDefault="008E3B47" w:rsidP="00DF10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520701">
        <w:rPr>
          <w:rFonts w:ascii="Times New Roman" w:hAnsi="Times New Roman" w:cs="Times New Roman"/>
        </w:rPr>
        <w:t>S'il est procédé à une réévaluation de l'ensemble des immobilisations corporelles et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financières, l'écart de réévaluation entre la valeur actuelle et la valeur comptable nette ne peut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être utilisé à compenser les pertes ; il est inscrit distinctement au passif du bilan.</w:t>
      </w:r>
    </w:p>
    <w:p w:rsidR="008E3B47" w:rsidRPr="00520701" w:rsidRDefault="008E3B47" w:rsidP="00DF10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520701">
        <w:rPr>
          <w:rFonts w:ascii="Times New Roman" w:hAnsi="Times New Roman" w:cs="Times New Roman"/>
        </w:rPr>
        <w:t>Les biens fongibles sont évalués soit à leur coût moyen d'acquisition ou de production, soit en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considérant que le premier bien sorti est le premier bien entré.</w:t>
      </w:r>
    </w:p>
    <w:p w:rsidR="008E3B47" w:rsidRPr="00DF10D9" w:rsidRDefault="008E3B47" w:rsidP="00DF10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</w:rPr>
      </w:pPr>
      <w:r w:rsidRPr="00DF10D9">
        <w:rPr>
          <w:rFonts w:ascii="Times New Roman" w:hAnsi="Times New Roman" w:cs="Times New Roman"/>
          <w:b/>
          <w:bCs/>
          <w:i/>
          <w:iCs/>
        </w:rPr>
        <w:t>Toutefois, les personnes physiques visées à l'alinéa 5 de l'article premier ci-dessus sont autorisées à :</w:t>
      </w:r>
    </w:p>
    <w:p w:rsidR="008E3B47" w:rsidRPr="00DF10D9" w:rsidRDefault="008E3B47" w:rsidP="00DF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DF10D9">
        <w:rPr>
          <w:rFonts w:ascii="Times New Roman" w:hAnsi="Times New Roman" w:cs="Times New Roman"/>
          <w:b/>
          <w:bCs/>
          <w:i/>
          <w:iCs/>
        </w:rPr>
        <w:t>- procéder à une évaluation simplifiée des stocks achetés et des biens produits par estimation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F10D9">
        <w:rPr>
          <w:rFonts w:ascii="Times New Roman" w:hAnsi="Times New Roman" w:cs="Times New Roman"/>
          <w:b/>
          <w:bCs/>
          <w:i/>
          <w:iCs/>
        </w:rPr>
        <w:t>du coût d'achat ou de production ou sur la base du prix de vente, avec application d'un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F10D9">
        <w:rPr>
          <w:rFonts w:ascii="Times New Roman" w:hAnsi="Times New Roman" w:cs="Times New Roman"/>
          <w:b/>
          <w:bCs/>
          <w:i/>
          <w:iCs/>
        </w:rPr>
        <w:t>abattement correspondant à la marge pratiquée ;</w:t>
      </w:r>
    </w:p>
    <w:p w:rsidR="008E3B47" w:rsidRDefault="008E3B47" w:rsidP="00DF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DF10D9">
        <w:rPr>
          <w:rFonts w:ascii="Times New Roman" w:hAnsi="Times New Roman" w:cs="Times New Roman"/>
          <w:b/>
          <w:bCs/>
          <w:i/>
          <w:iCs/>
        </w:rPr>
        <w:t>- procéder au calcul des amortissements des immobilisations selon une méthode linéaire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F10D9">
        <w:rPr>
          <w:rFonts w:ascii="Times New Roman" w:hAnsi="Times New Roman" w:cs="Times New Roman"/>
          <w:b/>
          <w:bCs/>
          <w:i/>
          <w:iCs/>
        </w:rPr>
        <w:t>simplifiée.</w:t>
      </w:r>
    </w:p>
    <w:p w:rsidR="008E3B47" w:rsidRPr="00DF10D9" w:rsidRDefault="008E3B47" w:rsidP="00DF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8E3B47" w:rsidRDefault="008E3B47" w:rsidP="00DF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20701">
        <w:rPr>
          <w:rFonts w:ascii="Times New Roman" w:hAnsi="Times New Roman" w:cs="Times New Roman"/>
          <w:b/>
          <w:bCs/>
        </w:rPr>
        <w:t>Article 15 :</w:t>
      </w:r>
    </w:p>
    <w:p w:rsidR="008E3B47" w:rsidRPr="00520701" w:rsidRDefault="008E3B47" w:rsidP="00DF10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520701">
        <w:rPr>
          <w:rFonts w:ascii="Times New Roman" w:hAnsi="Times New Roman" w:cs="Times New Roman"/>
          <w:b/>
          <w:bCs/>
        </w:rPr>
        <w:t xml:space="preserve"> </w:t>
      </w:r>
      <w:r w:rsidRPr="00520701">
        <w:rPr>
          <w:rFonts w:ascii="Times New Roman" w:hAnsi="Times New Roman" w:cs="Times New Roman"/>
        </w:rPr>
        <w:t>Les mouvements et informations doivent être inscrits dans les comptes ou postes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adéquats, avec la bonne dénomination et sans compensation entre eux.</w:t>
      </w:r>
    </w:p>
    <w:p w:rsidR="008E3B47" w:rsidRPr="00520701" w:rsidRDefault="008E3B47" w:rsidP="00DF10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520701">
        <w:rPr>
          <w:rFonts w:ascii="Times New Roman" w:hAnsi="Times New Roman" w:cs="Times New Roman"/>
        </w:rPr>
        <w:t>Les éléments d'actif et de passif doivent être évalués séparément.</w:t>
      </w:r>
    </w:p>
    <w:p w:rsidR="008E3B47" w:rsidRPr="00520701" w:rsidRDefault="008E3B47" w:rsidP="00DF10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520701">
        <w:rPr>
          <w:rFonts w:ascii="Times New Roman" w:hAnsi="Times New Roman" w:cs="Times New Roman"/>
        </w:rPr>
        <w:t>Aucune compensation ne peut être opérée entre les postes d'actif et de passif du bilan ou entre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les postes de produits et de charges du compte de produits et charges.</w:t>
      </w:r>
    </w:p>
    <w:p w:rsidR="008E3B47" w:rsidRDefault="008E3B47" w:rsidP="00DF10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520701">
        <w:rPr>
          <w:rFonts w:ascii="Times New Roman" w:hAnsi="Times New Roman" w:cs="Times New Roman"/>
        </w:rPr>
        <w:t>Le bilan d'ouverture d'un exercice doit être identique au bilan de clôture de l'exercice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précédent.</w:t>
      </w:r>
    </w:p>
    <w:p w:rsidR="008E3B47" w:rsidRPr="00520701" w:rsidRDefault="008E3B47" w:rsidP="0052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3B47" w:rsidRDefault="008E3B47" w:rsidP="0052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20701">
        <w:rPr>
          <w:rFonts w:ascii="Times New Roman" w:hAnsi="Times New Roman" w:cs="Times New Roman"/>
          <w:b/>
          <w:bCs/>
        </w:rPr>
        <w:t>Article 16 :</w:t>
      </w:r>
    </w:p>
    <w:p w:rsidR="008E3B47" w:rsidRPr="00520701" w:rsidRDefault="008E3B47" w:rsidP="00DF10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520701">
        <w:rPr>
          <w:rFonts w:ascii="Times New Roman" w:hAnsi="Times New Roman" w:cs="Times New Roman"/>
        </w:rPr>
        <w:t>Les produits ne sont pris en compte que s'ils sont définitivement acquis à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l'entreprise ; les charges sont à enregistrer dès lors qu'elles sont probables.</w:t>
      </w:r>
    </w:p>
    <w:p w:rsidR="008E3B47" w:rsidRPr="00520701" w:rsidRDefault="008E3B47" w:rsidP="00DF10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520701">
        <w:rPr>
          <w:rFonts w:ascii="Times New Roman" w:hAnsi="Times New Roman" w:cs="Times New Roman"/>
        </w:rPr>
        <w:t>Même en cas d'absence ou insuffisance de bénéfice, il doit être procédé aux amortissements et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provisions nécessaires.</w:t>
      </w:r>
    </w:p>
    <w:p w:rsidR="008E3B47" w:rsidRDefault="008E3B47" w:rsidP="00DF10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520701">
        <w:rPr>
          <w:rFonts w:ascii="Times New Roman" w:hAnsi="Times New Roman" w:cs="Times New Roman"/>
        </w:rPr>
        <w:t>Il doit être tenu compte des risques et des charges nés au cours de l'exercice ou d'un exercice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antérieur, même s'ils sont connus entre la date de clôture de l'exercice et celle de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l'établissement des états de synthèse.</w:t>
      </w:r>
    </w:p>
    <w:p w:rsidR="008E3B47" w:rsidRPr="00520701" w:rsidRDefault="008E3B47" w:rsidP="00DF10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8E3B47" w:rsidRDefault="008E3B47" w:rsidP="0052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20701">
        <w:rPr>
          <w:rFonts w:ascii="Times New Roman" w:hAnsi="Times New Roman" w:cs="Times New Roman"/>
          <w:b/>
          <w:bCs/>
        </w:rPr>
        <w:t>Article 17 :</w:t>
      </w:r>
    </w:p>
    <w:p w:rsidR="008E3B47" w:rsidRDefault="008E3B47" w:rsidP="00DF10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520701">
        <w:rPr>
          <w:rFonts w:ascii="Times New Roman" w:hAnsi="Times New Roman" w:cs="Times New Roman"/>
        </w:rPr>
        <w:t>Seuls les bénéfices réalisés à la clôture d'un exercice peuvent être inscrits dans les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états de synthèse. Cependant, peut également être inscrit le bénéfice réalisé sur une opération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partiellement exécutée, lorsque sa durée est supérieure à un an, sa réalisation certaine et qu'il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est possible d'évaluer avec une sécurité suffisante le bénéfice global de l'opération.</w:t>
      </w:r>
    </w:p>
    <w:p w:rsidR="008E3B47" w:rsidRPr="00520701" w:rsidRDefault="008E3B47" w:rsidP="00DF10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8E3B47" w:rsidRDefault="008E3B47" w:rsidP="00DF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20701">
        <w:rPr>
          <w:rFonts w:ascii="Times New Roman" w:hAnsi="Times New Roman" w:cs="Times New Roman"/>
          <w:b/>
          <w:bCs/>
        </w:rPr>
        <w:t xml:space="preserve">Article 18 : </w:t>
      </w:r>
    </w:p>
    <w:p w:rsidR="008E3B47" w:rsidRPr="00520701" w:rsidRDefault="008E3B47" w:rsidP="00DF10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520701">
        <w:rPr>
          <w:rFonts w:ascii="Times New Roman" w:hAnsi="Times New Roman" w:cs="Times New Roman"/>
        </w:rPr>
        <w:t>L'établissement des états de synthèse, sauf circonstances exceptionnelles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justifiées dans l'état des informations complémentaires, doit se faire au plus tard dans les trois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mois suivant la date de clôture de l'exercice.</w:t>
      </w:r>
    </w:p>
    <w:p w:rsidR="008E3B47" w:rsidRDefault="008E3B47" w:rsidP="00DF10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520701">
        <w:rPr>
          <w:rFonts w:ascii="Times New Roman" w:hAnsi="Times New Roman" w:cs="Times New Roman"/>
        </w:rPr>
        <w:t>La date d'établissement des états de synthèse est mentionnée dans l'état des informations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complémentaires.</w:t>
      </w:r>
    </w:p>
    <w:p w:rsidR="008E3B47" w:rsidRPr="00520701" w:rsidRDefault="008E3B47" w:rsidP="00DF10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8E3B47" w:rsidRDefault="008E3B47" w:rsidP="0052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20701">
        <w:rPr>
          <w:rFonts w:ascii="Times New Roman" w:hAnsi="Times New Roman" w:cs="Times New Roman"/>
          <w:b/>
          <w:bCs/>
        </w:rPr>
        <w:t xml:space="preserve">Article 19 : </w:t>
      </w:r>
    </w:p>
    <w:p w:rsidR="008E3B47" w:rsidRPr="00520701" w:rsidRDefault="008E3B47" w:rsidP="00457C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520701">
        <w:rPr>
          <w:rFonts w:ascii="Times New Roman" w:hAnsi="Times New Roman" w:cs="Times New Roman"/>
        </w:rPr>
        <w:t>Si, en raison de situations spécifiques à l'entreprise, l'application d'une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prescription comptable de la présente loi ne permet pas de donner une image fidèle de l'actif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et du passif, de la situation financière ou des résultats, il peut y être dérogé ; cette dérogation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est mentionnée à l'état des informations complémentaires et dûment motivée, avec l'indication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de son influence sur l'actif, le passif, la situation financière et les résultats de l'entreprise.</w:t>
      </w:r>
    </w:p>
    <w:p w:rsidR="008E3B47" w:rsidRDefault="008E3B47" w:rsidP="00457C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520701">
        <w:rPr>
          <w:rFonts w:ascii="Times New Roman" w:hAnsi="Times New Roman" w:cs="Times New Roman"/>
        </w:rPr>
        <w:t>Le changement de la date de clôture doit être dûment motivé dans l'état des informations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complémentaires.</w:t>
      </w:r>
    </w:p>
    <w:p w:rsidR="008E3B47" w:rsidRPr="00520701" w:rsidRDefault="008E3B47" w:rsidP="00457C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8E3B47" w:rsidRDefault="008E3B47" w:rsidP="0052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20701">
        <w:rPr>
          <w:rFonts w:ascii="Times New Roman" w:hAnsi="Times New Roman" w:cs="Times New Roman"/>
          <w:b/>
          <w:bCs/>
        </w:rPr>
        <w:t>Article 20 :</w:t>
      </w:r>
    </w:p>
    <w:p w:rsidR="008E3B47" w:rsidRPr="00520701" w:rsidRDefault="008E3B47" w:rsidP="00457C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520701">
        <w:rPr>
          <w:rFonts w:ascii="Times New Roman" w:hAnsi="Times New Roman" w:cs="Times New Roman"/>
        </w:rPr>
        <w:t>Lorsque les conditions d'une cessation d'activité totale ou partielle sont réunies,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l'assujetti peut établir ses états de synthèse selon des méthodes différentes de celles prescrites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par la présente loi.</w:t>
      </w:r>
    </w:p>
    <w:p w:rsidR="008E3B47" w:rsidRDefault="008E3B47" w:rsidP="00457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0701">
        <w:rPr>
          <w:rFonts w:ascii="Times New Roman" w:hAnsi="Times New Roman" w:cs="Times New Roman"/>
        </w:rPr>
        <w:t>Dans de tels cas, il doit indiquer dans l'état des informations complémentaires les méthodes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qu'il a retenues.</w:t>
      </w:r>
    </w:p>
    <w:p w:rsidR="008E3B47" w:rsidRPr="00520701" w:rsidRDefault="008E3B47" w:rsidP="00457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3B47" w:rsidRDefault="008E3B47" w:rsidP="0052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20701">
        <w:rPr>
          <w:rFonts w:ascii="Times New Roman" w:hAnsi="Times New Roman" w:cs="Times New Roman"/>
          <w:b/>
          <w:bCs/>
        </w:rPr>
        <w:t>Article 21 :</w:t>
      </w:r>
    </w:p>
    <w:p w:rsidR="008E3B47" w:rsidRPr="00520701" w:rsidRDefault="008E3B47" w:rsidP="00457C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520701">
        <w:rPr>
          <w:rFonts w:ascii="Times New Roman" w:hAnsi="Times New Roman" w:cs="Times New Roman"/>
        </w:rPr>
        <w:t>Les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 xml:space="preserve">personnes assujetties à la présente loi dont le chiffre d'affaire annuel est </w:t>
      </w:r>
      <w:r w:rsidRPr="00457CE6">
        <w:rPr>
          <w:rFonts w:ascii="Times New Roman" w:hAnsi="Times New Roman" w:cs="Times New Roman"/>
          <w:b/>
          <w:bCs/>
          <w:i/>
          <w:iCs/>
        </w:rPr>
        <w:t>inférieur ou égal à dix millions de dirhams (10.000.000)</w:t>
      </w:r>
      <w:r w:rsidRPr="00520701">
        <w:rPr>
          <w:rFonts w:ascii="Times New Roman" w:hAnsi="Times New Roman" w:cs="Times New Roman"/>
        </w:rPr>
        <w:t xml:space="preserve"> sont dispensées de l'établissement de l'état des soldes de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gestion, du tableau de financement et de l'état des informations complémentaires.</w:t>
      </w:r>
    </w:p>
    <w:p w:rsidR="008E3B47" w:rsidRDefault="008E3B47" w:rsidP="00457C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</w:rPr>
      </w:pPr>
      <w:r w:rsidRPr="00457CE6">
        <w:rPr>
          <w:rFonts w:ascii="Times New Roman" w:hAnsi="Times New Roman" w:cs="Times New Roman"/>
          <w:b/>
          <w:bCs/>
          <w:i/>
          <w:iCs/>
        </w:rPr>
        <w:t>Les personnes visées à l'alinéa ci-dessus sont autorisées à établir le bilan et le compte de produits et charges et adopter le cadre comptable selon le modèle simplifié tel qu'annexé à la présente loi.</w:t>
      </w:r>
    </w:p>
    <w:p w:rsidR="008E3B47" w:rsidRPr="00457CE6" w:rsidRDefault="008E3B47" w:rsidP="00191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8E3B47" w:rsidRDefault="008E3B47" w:rsidP="0052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20701">
        <w:rPr>
          <w:rFonts w:ascii="Times New Roman" w:hAnsi="Times New Roman" w:cs="Times New Roman"/>
          <w:b/>
          <w:bCs/>
        </w:rPr>
        <w:t xml:space="preserve">Article 22 : </w:t>
      </w:r>
    </w:p>
    <w:p w:rsidR="008E3B47" w:rsidRPr="00520701" w:rsidRDefault="008E3B47" w:rsidP="00457C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520701">
        <w:rPr>
          <w:rFonts w:ascii="Times New Roman" w:hAnsi="Times New Roman" w:cs="Times New Roman"/>
        </w:rPr>
        <w:t>Les documents comptables sont établis en monnaie nationale.</w:t>
      </w:r>
    </w:p>
    <w:p w:rsidR="008E3B47" w:rsidRPr="00520701" w:rsidRDefault="008E3B47" w:rsidP="00457C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520701">
        <w:rPr>
          <w:rFonts w:ascii="Times New Roman" w:hAnsi="Times New Roman" w:cs="Times New Roman"/>
        </w:rPr>
        <w:t>Les documents comptables et les pièces justificatives sont conservés pendant dix ans.</w:t>
      </w:r>
    </w:p>
    <w:p w:rsidR="008E3B47" w:rsidRDefault="008E3B47" w:rsidP="00457C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520701">
        <w:rPr>
          <w:rFonts w:ascii="Times New Roman" w:hAnsi="Times New Roman" w:cs="Times New Roman"/>
        </w:rPr>
        <w:t>Les documents comptables relatifs à l'enregistrement des opérations et à l'inventaire sont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établis et tenus sans blanc ni altération d'aucune sorte.</w:t>
      </w:r>
    </w:p>
    <w:p w:rsidR="008E3B47" w:rsidRPr="00520701" w:rsidRDefault="008E3B47" w:rsidP="00191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3B47" w:rsidRDefault="008E3B47" w:rsidP="00457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20701">
        <w:rPr>
          <w:rFonts w:ascii="Times New Roman" w:hAnsi="Times New Roman" w:cs="Times New Roman"/>
          <w:b/>
          <w:bCs/>
        </w:rPr>
        <w:t xml:space="preserve">Article 23 : </w:t>
      </w:r>
    </w:p>
    <w:p w:rsidR="008E3B47" w:rsidRDefault="008E3B47" w:rsidP="00457C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520701">
        <w:rPr>
          <w:rFonts w:ascii="Times New Roman" w:hAnsi="Times New Roman" w:cs="Times New Roman"/>
        </w:rPr>
        <w:t>L'administration fiscale peut rejeter les comptabilités qui ne sont pas tenues dans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les formes prescrites par la présente loi et les tableaux y annexés.</w:t>
      </w:r>
    </w:p>
    <w:p w:rsidR="008E3B47" w:rsidRPr="00520701" w:rsidRDefault="008E3B47" w:rsidP="00457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3B47" w:rsidRDefault="008E3B47" w:rsidP="00457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20701">
        <w:rPr>
          <w:rFonts w:ascii="Times New Roman" w:hAnsi="Times New Roman" w:cs="Times New Roman"/>
          <w:b/>
          <w:bCs/>
        </w:rPr>
        <w:t>Article 24 :</w:t>
      </w:r>
    </w:p>
    <w:p w:rsidR="008E3B47" w:rsidRDefault="008E3B47" w:rsidP="00457C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520701">
        <w:rPr>
          <w:rFonts w:ascii="Times New Roman" w:hAnsi="Times New Roman" w:cs="Times New Roman"/>
        </w:rPr>
        <w:t>Les experts-comptables, comptables agréés et autres personnes faisant profession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de tenir la comptabilité des personnes assujetties à la présente loi sont tenus de se conformer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aux dispositions de la présente loi et de son annexe pour la tenue de la comptabilité des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entreprises dont ils sont chargés.</w:t>
      </w:r>
    </w:p>
    <w:p w:rsidR="008E3B47" w:rsidRPr="00520701" w:rsidRDefault="008E3B47" w:rsidP="00457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3B47" w:rsidRDefault="008E3B47" w:rsidP="0052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20701">
        <w:rPr>
          <w:rFonts w:ascii="Times New Roman" w:hAnsi="Times New Roman" w:cs="Times New Roman"/>
          <w:b/>
          <w:bCs/>
        </w:rPr>
        <w:t xml:space="preserve">Article 25 : </w:t>
      </w:r>
    </w:p>
    <w:p w:rsidR="008E3B47" w:rsidRDefault="008E3B47" w:rsidP="00457C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520701">
        <w:rPr>
          <w:rFonts w:ascii="Times New Roman" w:hAnsi="Times New Roman" w:cs="Times New Roman"/>
        </w:rPr>
        <w:t>Sont abrogés lors de l'entrée en vigueur de la présente loi les articles 10, 11, 12 et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13 du dahir du 9 ramadan 1331 (12 août 1913) formant Code de commerce. Les renvois faits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à ces articles dans les lois et règlements en vigueur s'appliquent de plein droit aux dispositions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>correspondantes de la présente loi.</w:t>
      </w:r>
    </w:p>
    <w:p w:rsidR="008E3B47" w:rsidRPr="00520701" w:rsidRDefault="008E3B47" w:rsidP="00457C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8E3B47" w:rsidRDefault="008E3B47" w:rsidP="0052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20701">
        <w:rPr>
          <w:rFonts w:ascii="Times New Roman" w:hAnsi="Times New Roman" w:cs="Times New Roman"/>
          <w:b/>
          <w:bCs/>
        </w:rPr>
        <w:t xml:space="preserve">Article 26 : </w:t>
      </w:r>
    </w:p>
    <w:p w:rsidR="008E3B47" w:rsidRDefault="008E3B47" w:rsidP="00457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20701">
        <w:rPr>
          <w:rFonts w:ascii="Times New Roman" w:hAnsi="Times New Roman" w:cs="Times New Roman"/>
        </w:rPr>
        <w:t>Les dispositions de la présente loi entreront en vigueur à compter du deuxième</w:t>
      </w:r>
      <w:r>
        <w:rPr>
          <w:rFonts w:ascii="Times New Roman" w:hAnsi="Times New Roman" w:cs="Times New Roman"/>
        </w:rPr>
        <w:t xml:space="preserve"> </w:t>
      </w:r>
      <w:r w:rsidRPr="00520701">
        <w:rPr>
          <w:rFonts w:ascii="Times New Roman" w:hAnsi="Times New Roman" w:cs="Times New Roman"/>
        </w:rPr>
        <w:t xml:space="preserve">exercice ouvert après la date de sa publication au </w:t>
      </w:r>
      <w:r w:rsidRPr="00520701">
        <w:rPr>
          <w:rFonts w:ascii="Times New Roman" w:hAnsi="Times New Roman" w:cs="Times New Roman"/>
          <w:i/>
          <w:iCs/>
        </w:rPr>
        <w:t>Bulletin officiel.</w:t>
      </w:r>
    </w:p>
    <w:p w:rsidR="008E3B47" w:rsidRDefault="008E3B47" w:rsidP="00457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8E3B47" w:rsidRPr="003210F5" w:rsidRDefault="008E3B47" w:rsidP="00BD4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210F5">
        <w:rPr>
          <w:rFonts w:ascii="Verdana" w:hAnsi="Verdana" w:cs="Verdana"/>
        </w:rPr>
        <w:t>Ces modifications sont introduites par la loi n° 44-03 et qui seront applicables pour les exercice</w:t>
      </w:r>
      <w:r>
        <w:rPr>
          <w:rFonts w:ascii="Verdana" w:hAnsi="Verdana" w:cs="Verdana"/>
        </w:rPr>
        <w:t>s</w:t>
      </w:r>
      <w:r w:rsidRPr="003210F5">
        <w:rPr>
          <w:rFonts w:ascii="Verdana" w:hAnsi="Verdana" w:cs="Verdana"/>
        </w:rPr>
        <w:t xml:space="preserve"> suivant la date de publication de cette loi qui est le 27/02/2006.</w:t>
      </w:r>
    </w:p>
    <w:p w:rsidR="008E3B47" w:rsidRPr="003210F5" w:rsidRDefault="008E3B47" w:rsidP="00BD4EAA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Verdana" w:hAnsi="Verdana" w:cs="Verdana"/>
        </w:rPr>
      </w:pPr>
      <w:r w:rsidRPr="003210F5">
        <w:rPr>
          <w:rStyle w:val="Strong"/>
          <w:rFonts w:ascii="Verdana" w:hAnsi="Verdana" w:cs="Verdana"/>
        </w:rPr>
        <w:t>Les principales modification</w:t>
      </w:r>
      <w:r>
        <w:rPr>
          <w:rStyle w:val="Strong"/>
          <w:rFonts w:ascii="Verdana" w:hAnsi="Verdana" w:cs="Verdana"/>
        </w:rPr>
        <w:t>s</w:t>
      </w:r>
      <w:r w:rsidRPr="003210F5">
        <w:rPr>
          <w:rStyle w:val="Strong"/>
          <w:rFonts w:ascii="Verdana" w:hAnsi="Verdana" w:cs="Verdana"/>
        </w:rPr>
        <w:t xml:space="preserve"> apportées à la loi n° 9-88 relatives aux obligations comptables des commerçants :</w:t>
      </w:r>
    </w:p>
    <w:p w:rsidR="008E3B47" w:rsidRPr="003210F5" w:rsidRDefault="008E3B47" w:rsidP="00BD4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210F5">
        <w:rPr>
          <w:rFonts w:ascii="Verdana" w:hAnsi="Verdana" w:cs="Verdana"/>
        </w:rPr>
        <w:t xml:space="preserve">- Pour les entreprises qui adoptent le modèle </w:t>
      </w:r>
      <w:hyperlink r:id="rId4" w:tgtFrame="_blank" w:tooltip="Sponsor Link By eDintorni" w:history="1">
        <w:r w:rsidRPr="003210F5">
          <w:rPr>
            <w:rStyle w:val="Hyperlink"/>
            <w:rFonts w:ascii="Verdana" w:hAnsi="Verdana" w:cs="Verdana"/>
            <w:u w:val="single"/>
          </w:rPr>
          <w:t>comptable</w:t>
        </w:r>
      </w:hyperlink>
      <w:r w:rsidRPr="003210F5">
        <w:rPr>
          <w:rFonts w:ascii="Verdana" w:hAnsi="Verdana" w:cs="Verdana"/>
        </w:rPr>
        <w:t xml:space="preserve"> normale, le CA annuel sera plus de 10 000 000 DHS au lieu de 7 500 000 DHS.</w:t>
      </w:r>
    </w:p>
    <w:p w:rsidR="008E3B47" w:rsidRPr="003210F5" w:rsidRDefault="008E3B47" w:rsidP="00BD4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210F5">
        <w:rPr>
          <w:rFonts w:ascii="Verdana" w:hAnsi="Verdana" w:cs="Verdana"/>
        </w:rPr>
        <w:t>- Le modèle comptable normal pour les entreprises dont le CA annuel ne dépasse pas 10 000 000 DHS au lieu de 7 500 000 DHS.</w:t>
      </w:r>
    </w:p>
    <w:p w:rsidR="008E3B47" w:rsidRPr="003210F5" w:rsidRDefault="008E3B47" w:rsidP="00BD4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210F5">
        <w:rPr>
          <w:rFonts w:ascii="Verdana" w:hAnsi="Verdana" w:cs="Verdana"/>
        </w:rPr>
        <w:t xml:space="preserve">- Dispenser les </w:t>
      </w:r>
      <w:hyperlink r:id="rId5" w:tgtFrame="_blank" w:tooltip="Sponsor Link By eDintorni" w:history="1">
        <w:r w:rsidRPr="003210F5">
          <w:rPr>
            <w:rStyle w:val="Hyperlink"/>
            <w:rFonts w:ascii="Verdana" w:hAnsi="Verdana" w:cs="Verdana"/>
            <w:u w:val="single"/>
          </w:rPr>
          <w:t>personnes</w:t>
        </w:r>
      </w:hyperlink>
      <w:r w:rsidRPr="003210F5">
        <w:rPr>
          <w:rFonts w:ascii="Verdana" w:hAnsi="Verdana" w:cs="Verdana"/>
        </w:rPr>
        <w:t xml:space="preserve"> physiques dont le CA annuel n'excède pas 2 millions de DHS de faire coter et parapher les </w:t>
      </w:r>
      <w:hyperlink r:id="rId6" w:tgtFrame="_blank" w:history="1">
        <w:r w:rsidRPr="003210F5">
          <w:rPr>
            <w:rStyle w:val="Hyperlink"/>
            <w:rFonts w:ascii="Verdana" w:hAnsi="Verdana" w:cs="Verdana"/>
            <w:u w:val="single"/>
          </w:rPr>
          <w:t>livres</w:t>
        </w:r>
      </w:hyperlink>
      <w:r w:rsidRPr="003210F5">
        <w:rPr>
          <w:rFonts w:ascii="Verdana" w:hAnsi="Verdana" w:cs="Verdana"/>
        </w:rPr>
        <w:t xml:space="preserve"> légaux mais de les conserver pondant la durée légale de 10 ans.</w:t>
      </w:r>
    </w:p>
    <w:p w:rsidR="008E3B47" w:rsidRPr="003210F5" w:rsidRDefault="008E3B47" w:rsidP="00BD4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210F5">
        <w:rPr>
          <w:rFonts w:ascii="Verdana" w:hAnsi="Verdana" w:cs="Verdana"/>
        </w:rPr>
        <w:t>- Le manuel des procédures comptables est obligatoire à partir de 10 millions de Dhs au lieu de 7.5 millions de Dhs...........etc</w:t>
      </w:r>
      <w:r>
        <w:rPr>
          <w:rFonts w:ascii="Verdana" w:hAnsi="Verdana" w:cs="Verdana"/>
        </w:rPr>
        <w:t>.</w:t>
      </w:r>
    </w:p>
    <w:p w:rsidR="008E3B47" w:rsidRPr="00520701" w:rsidRDefault="008E3B47" w:rsidP="00457CE6">
      <w:pPr>
        <w:autoSpaceDE w:val="0"/>
        <w:autoSpaceDN w:val="0"/>
        <w:adjustRightInd w:val="0"/>
        <w:spacing w:after="0" w:line="240" w:lineRule="auto"/>
      </w:pPr>
    </w:p>
    <w:sectPr w:rsidR="008E3B47" w:rsidRPr="00520701" w:rsidSect="00FE1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DB9"/>
    <w:rsid w:val="000C5B6B"/>
    <w:rsid w:val="00191DB8"/>
    <w:rsid w:val="001E6085"/>
    <w:rsid w:val="00234511"/>
    <w:rsid w:val="002F478B"/>
    <w:rsid w:val="003210F5"/>
    <w:rsid w:val="00457CE6"/>
    <w:rsid w:val="00493D72"/>
    <w:rsid w:val="00495FA1"/>
    <w:rsid w:val="004B466F"/>
    <w:rsid w:val="00520701"/>
    <w:rsid w:val="007502E5"/>
    <w:rsid w:val="0079081D"/>
    <w:rsid w:val="00814352"/>
    <w:rsid w:val="008E3B47"/>
    <w:rsid w:val="00AD6E69"/>
    <w:rsid w:val="00AF5D4C"/>
    <w:rsid w:val="00B604D5"/>
    <w:rsid w:val="00B936C4"/>
    <w:rsid w:val="00BD4EAA"/>
    <w:rsid w:val="00D95CA7"/>
    <w:rsid w:val="00DF10D9"/>
    <w:rsid w:val="00EA110F"/>
    <w:rsid w:val="00EE1224"/>
    <w:rsid w:val="00EF1DB9"/>
    <w:rsid w:val="00F77E19"/>
    <w:rsid w:val="00FA6387"/>
    <w:rsid w:val="00FE170A"/>
    <w:rsid w:val="00FE5F05"/>
    <w:rsid w:val="00FE7C59"/>
    <w:rsid w:val="00FF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70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D4EAA"/>
    <w:rPr>
      <w:color w:val="auto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BD4E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v.edintorni.net/click/?mo=T&amp;ky=livres&amp;af=20086&amp;ct=fr&amp;rf=http%3A%2F%2Ffiscalistes%2Efrbb%2Enet%2Fdivers%2Darticles%2Det%2Ddiscussions%2Dayant%2Dun%2Drapport%2Davec%2Dnotre%2Dformation%2Df8%2Fla%2Dloi%2D44%2D03%2Dmodifiant%2Dla%2Dloi%2D9%2D88%2Dt17%2Ehtm&amp;re=&amp;ts=1263332029609&amp;hs=b555a25606ad98b0a250aa9080bcd87a" TargetMode="External"/><Relationship Id="rId5" Type="http://schemas.openxmlformats.org/officeDocument/2006/relationships/hyperlink" Target="http://adv.edintorni.net/click/?mo=T&amp;ky=personnes&amp;af=20086&amp;ct=fr&amp;rf=http%3A%2F%2Ffiscalistes%2Efrbb%2Enet%2Fdivers%2Darticles%2Det%2Ddiscussions%2Dayant%2Dun%2Drapport%2Davec%2Dnotre%2Dformation%2Df8%2Fla%2Dloi%2D44%2D03%2Dmodifiant%2Dla%2Dloi%2D9%2D88%2Dt17%2Ehtm&amp;re=&amp;ts=1263332029609&amp;hs=93853cd4db878daa2665722b6aea487d" TargetMode="External"/><Relationship Id="rId4" Type="http://schemas.openxmlformats.org/officeDocument/2006/relationships/hyperlink" Target="http://adv.edintorni.net/click/?mo=T&amp;ky=comptable&amp;af=20086&amp;ct=fr&amp;rf=http%3A%2F%2Ffiscalistes%2Efrbb%2Enet%2Fdivers%2Darticles%2Det%2Ddiscussions%2Dayant%2Dun%2Drapport%2Davec%2Dnotre%2Dformation%2Df8%2Fla%2Dloi%2D44%2D03%2Dmodifiant%2Dla%2Dloi%2D9%2D88%2Dt17%2Ehtm&amp;re=&amp;ts=1263332029609&amp;hs=39462c9963da575cb768dc2362fd9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2389</Words>
  <Characters>13143</Characters>
  <Application>Microsoft Office Outlook</Application>
  <DocSecurity>0</DocSecurity>
  <Lines>0</Lines>
  <Paragraphs>0</Paragraphs>
  <ScaleCrop>false</ScaleCrop>
  <Company>Unicornis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Loi n ° 9-88 relative aux obligations comptables des commerçants</dc:title>
  <dc:subject/>
  <dc:creator>Unicornis</dc:creator>
  <cp:keywords/>
  <dc:description/>
  <cp:lastModifiedBy>MFG</cp:lastModifiedBy>
  <cp:revision>2</cp:revision>
  <dcterms:created xsi:type="dcterms:W3CDTF">2010-03-05T18:13:00Z</dcterms:created>
  <dcterms:modified xsi:type="dcterms:W3CDTF">2010-03-05T18:13:00Z</dcterms:modified>
</cp:coreProperties>
</file>